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499d1_8k.htm"/>
      <w:bookmarkStart w:id="1" w:name="kstm2620499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7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3_edei--DocumentPeriodEndDate_c202"/>
      <w:bookmarkEnd w:id="3"/>
      <w:r>
        <w:rPr>
          <w:rFonts w:ascii="Times New Roman;Times;Serif" w:hAnsi="Times New Roman;Times;Serif"/>
          <w:b/>
          <w:i w:val="false"/>
          <w:caps w:val="false"/>
          <w:smallCaps w:val="false"/>
          <w:sz w:val="20"/>
        </w:rPr>
        <w:t xml:space="preserve">July 14, 2026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F_edei--EntityRegistrantName_c2026"/>
      <w:bookmarkEnd w:id="4"/>
      <w:r>
        <w:rPr>
          <w:rFonts w:ascii="Times New Roman;Times;Serif" w:hAnsi="Times New Roman;Times;Serif"/>
          <w:b/>
          <w:i w:val="false"/>
          <w:caps w:val="false"/>
          <w:smallCaps w:val="false"/>
          <w:sz w:val="28"/>
          <w:u w:val="single"/>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2180"/>
        <w:gridCol w:w="75"/>
        <w:gridCol w:w="2270"/>
        <w:gridCol w:w="75"/>
        <w:gridCol w:w="1610"/>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6_edei--EntityIncorporationStateCo"/>
            <w:bookmarkEnd w:id="5"/>
            <w:r>
              <w:rPr>
                <w:rFonts w:ascii="Times New Roman;Times;Serif" w:hAnsi="Times New Roman;Times;Serif"/>
                <w:b/>
                <w:sz w:val="20"/>
              </w:rPr>
              <w:t>Delaware</w:t>
            </w:r>
          </w:p>
        </w:tc>
        <w:tc>
          <w:tcPr>
            <w:tcW w:w="75" w:type="dxa"/>
            <w:tcBorders/>
            <w:tcMar>
              <w:bottom w:w="0" w:type="dxa"/>
            </w:tcMar>
            <w:vAlign w:val="center"/>
          </w:tcPr>
          <w:p>
            <w:pPr>
              <w:pStyle w:val="TableContents"/>
              <w:bidi w:val="0"/>
              <w:spacing w:before="0" w:after="283"/>
              <w:jc w:val="left"/>
              <w:rPr/>
            </w:pPr>
            <w:r>
              <w:rPr/>
              <w:t> </w:t>
            </w:r>
          </w:p>
        </w:tc>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714"/>
            <w:bookmarkEnd w:id="6"/>
            <w:r>
              <w:rPr>
                <w:rFonts w:ascii="Times New Roman;Times;Serif" w:hAnsi="Times New Roman;Times;Serif"/>
                <w:b/>
                <w:sz w:val="20"/>
              </w:rPr>
              <w:t>001-42811</w:t>
            </w:r>
          </w:p>
        </w:tc>
        <w:tc>
          <w:tcPr>
            <w:tcW w:w="75"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99-2516128</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75"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Number) </w:t>
            </w:r>
          </w:p>
        </w:tc>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 xml:space="preserve">Identification No.) </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28" w:type="dxa"/>
          <w:right w:w="0" w:type="dxa"/>
        </w:tblCellMar>
      </w:tblPr>
      <w:tblGrid>
        <w:gridCol w:w="3440"/>
        <w:gridCol w:w="60"/>
        <w:gridCol w:w="965"/>
      </w:tblGrid>
      <w:tr>
        <w:trPr/>
        <w:tc>
          <w:tcPr>
            <w:tcW w:w="34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23046 Avenida De La Carlota, </w:t>
            </w:r>
            <w:bookmarkStart w:id="9" w:name="xdx_903_edei--EntityAddressAddressLine2_"/>
            <w:bookmarkEnd w:id="9"/>
            <w:r>
              <w:rPr>
                <w:rFonts w:ascii="Times New Roman;Times;Serif" w:hAnsi="Times New Roman;Times;Serif"/>
                <w:b/>
                <w:i w:val="false"/>
                <w:caps w:val="false"/>
                <w:smallCaps w:val="false"/>
                <w:sz w:val="20"/>
              </w:rPr>
              <w:t>Suite 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Laguna Hills, </w:t>
            </w:r>
            <w:bookmarkStart w:id="11" w:name="xdx_90A_edei--EntityAddressStateOrProvin"/>
            <w:bookmarkEnd w:id="11"/>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9_edei--EntityAddressPostalZipCode"/>
            <w:bookmarkEnd w:id="12"/>
            <w:r>
              <w:rPr>
                <w:rFonts w:ascii="Times New Roman;Times;Serif" w:hAnsi="Times New Roman;Times;Serif"/>
                <w:b/>
                <w:sz w:val="20"/>
              </w:rPr>
              <w:t>92653</w:t>
            </w:r>
          </w:p>
        </w:tc>
      </w:tr>
      <w:tr>
        <w:trPr/>
        <w:tc>
          <w:tcPr>
            <w:tcW w:w="34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Executive Offices)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(Zip Code)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60714__20"/>
      <w:bookmarkEnd w:id="13"/>
      <w:r>
        <w:rPr>
          <w:rFonts w:ascii="Times New Roman;Times;Serif" w:hAnsi="Times New Roman;Times;Serif"/>
          <w:b/>
          <w:i w:val="false"/>
          <w:caps w:val="false"/>
          <w:smallCaps w:val="false"/>
          <w:sz w:val="20"/>
        </w:rPr>
        <w:t xml:space="preserve">949) </w:t>
      </w:r>
      <w:bookmarkStart w:id="14" w:name="xdx_909_edei--LocalPhoneNumber_c20260714"/>
      <w:bookmarkEnd w:id="14"/>
      <w:r>
        <w:rPr>
          <w:rFonts w:ascii="Times New Roman;Times;Serif" w:hAnsi="Times New Roman;Times;Serif"/>
          <w:b/>
          <w:i w:val="false"/>
          <w:caps w:val="false"/>
          <w:smallCaps w:val="false"/>
          <w:sz w:val="20"/>
        </w:rPr>
        <w:t>758-0650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305"/>
        <w:gridCol w:w="5555"/>
      </w:tblGrid>
      <w:tr>
        <w:trPr/>
        <w:tc>
          <w:tcPr>
            <w:tcW w:w="305" w:type="dxa"/>
            <w:tcBorders/>
            <w:vAlign w:val="center"/>
          </w:tcPr>
          <w:p>
            <w:pPr>
              <w:pStyle w:val="TableContents"/>
              <w:bidi w:val="0"/>
              <w:spacing w:before="0" w:after="283"/>
              <w:jc w:val="left"/>
              <w:rPr/>
            </w:pPr>
            <w:bookmarkStart w:id="16" w:name="xdx_905_edei--SolicitingMaterial_c202607"/>
            <w:bookmarkEnd w:id="16"/>
            <w:r>
              <w:rPr/>
              <w:t>☐ </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305"/>
        <w:gridCol w:w="7160"/>
      </w:tblGrid>
      <w:tr>
        <w:trPr/>
        <w:tc>
          <w:tcPr>
            <w:tcW w:w="305" w:type="dxa"/>
            <w:tcBorders/>
            <w:vAlign w:val="center"/>
          </w:tcPr>
          <w:p>
            <w:pPr>
              <w:pStyle w:val="TableContents"/>
              <w:bidi w:val="0"/>
              <w:spacing w:before="0" w:after="283"/>
              <w:jc w:val="left"/>
              <w:rPr/>
            </w:pPr>
            <w:bookmarkStart w:id="17" w:name="xdx_909_edei--PreCommencementTenderOffer"/>
            <w:bookmarkEnd w:id="17"/>
            <w:r>
              <w:rPr/>
              <w:t>☐ </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305"/>
        <w:gridCol w:w="7130"/>
      </w:tblGrid>
      <w:tr>
        <w:trPr/>
        <w:tc>
          <w:tcPr>
            <w:tcW w:w="305" w:type="dxa"/>
            <w:tcBorders/>
            <w:vAlign w:val="center"/>
          </w:tcPr>
          <w:p>
            <w:pPr>
              <w:pStyle w:val="TableContents"/>
              <w:bidi w:val="0"/>
              <w:spacing w:before="0" w:after="283"/>
              <w:jc w:val="left"/>
              <w:rPr/>
            </w:pPr>
            <w:bookmarkStart w:id="18" w:name="xdx_906_edei--PreCommencementIssuerTende"/>
            <w:bookmarkEnd w:id="18"/>
            <w:r>
              <w:rPr/>
              <w:t>☐ </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4_edei--Security12bTitle_c20260714"/>
            <w:bookmarkEnd w:id="19"/>
            <w:r>
              <w:rPr>
                <w:rFonts w:ascii="Times New Roman;Times;Serif" w:hAnsi="Times New Roman;Times;Serif"/>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D_edei--TradingSymbol_c20260714__2"/>
            <w:bookmarkEnd w:id="20"/>
            <w:r>
              <w:rPr>
                <w:rFonts w:ascii="Times New Roman;Times;Serif" w:hAnsi="Times New Roman;Times;Serif"/>
                <w:sz w:val="20"/>
              </w:rPr>
              <w:t>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4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9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Elite Express Holding Inc. issued a press release to announce its financial results for the quarter ended May 31, 2026.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830"/>
        <w:gridCol w:w="78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7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hyperlink w:anchor="tm262049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0499d1_ex99-1.htm">
              <w:r>
                <w:rPr>
                  <w:rStyle w:val="InternetLink"/>
                  <w:rFonts w:ascii="Times New Roman;Times;Serif" w:hAnsi="Times New Roman;Times;Serif"/>
                  <w:sz w:val="20"/>
                </w:rPr>
                <w:t>Press Release dated July 14, 2026</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14, 2026</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320"/>
        <w:gridCol w:w="3845"/>
      </w:tblGrid>
      <w:tr>
        <w:trPr/>
        <w:tc>
          <w:tcPr>
            <w:tcW w:w="7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Elite Express Holding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4" w:name="tm2620499d1_ex99-1.htm"/>
      <w:bookmarkStart w:id="25" w:name="kstm2620499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20002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59055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Reports Second Quarter 2026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Calif., July 14, 2026 (GLOBE NEWSWIRE) – Elite Express Holding Inc. (“ETS” or the “Company”) (Nasdaq: ETS), a California-based provider of last-mile delivery services, today reported results for the quarter ended May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May 31, 2026, the Company reported revenue of $726,829, representing an increase of $96,579, or 15.3%, compared with $630,250 for the three months ended May 31, 2025. Activity-based revenue accounted for $512,123, or 70.4% of total revenue, during the three months ended May 31, 2026, compared with $470,826, or 74.6% of total revenue, for the same period in the prior year. Fixed revenue, including weekly service charges and branding-related revenue, increased from $156,473 for the three months ended May 31, 2025 to $214,333 for the three months ended May 31, 2026. This increase was primarily attributable to higher weekly service charge rates under the Company's ISP agreement with FedEx, which was renewed on February 21, 2026. Other Pickup and Delivery revenue decreased from $2,951 for the three months ended May 31, 2025 to $373 for the three months ended May 31, 2026, representing a decrease of $2,578.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reported cost of revenue of $645,792 for the three months ended May 31, 2026, compared with $612,248 for the three months ended May 31, 2025, representing an increase of $33,544, or 5.5% This increase was primarily due to increased maintenance and repair costs and higher cost of service related to the rental of additional vehicles to fulfill the Company’s delivery volume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May 31, 2026, the Company reported gross profit of $81,037, compared with $18,002 for the three months ended May 31, 2025, representing an improvement of $63,035. Gross margin improved to 11.1% for the three months ended May 31, 2026, compared with 2.9% in the prior-year period. The improvement was primarily attributable to higher revenue growth, which outpaced the increase in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Company increased by $564,310, or 398.1%, to $706,072 for the three months ended May 31, 2026, from $141,762 for the three months ended May 31, 2025. The increase was mainly due to (i) $115,312 in higher professional fees, primarily related to audit services, financial reporting, and SEC and regulatory compliance related to the Comnpany’s transition to a public company; (ii) $196,697 in higher payroll expenses associated with personnel supporting corporate governance, internal controls, and administrative operations; (iii) a $200,000 increase in franchise tax expenses; and (iv) $52,301 in 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May 31, 2026, the Company's loans receivable portfolio, which originated in fiscal 2025, generated interest income of $224,606. The loans were extended to unrelated third-party business partners to generate interest income on the net proceeds from the Company's initial public offering prior to their deployment for the purposes described in the Company's prospectus. Each loan originally bore interest at an annual rate of 8% and matured in May 2026 following the agreed extension of the original terms. During the three months ended May 31, 2026, the Company received principal repayments totaling $300,000. Effective June 1, 2026, the remaining outstanding loans were extended for an additional six months and now bear interest at an annual rate of 5%, and will mature on November 30, 2026. As of the date of this release, the Company has received aggregate interest payments of $400,000. All loans remain secured by irrevocable personal unlimited joint and several liability guarantees provided by the shareholders or chief executive officers of the respective borrowers, and the Company has no related-party relationships with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$2,532,942 for the three months ended May 31, 2026, compared with a net loss of $107,604 for the same period of 2025, representing an increase of $2,425,338, or 2,253.9%. The increase was primarily attributable to significant research and development expenses associated with the Company's long-term strategic initiatives, partially offset by higher revenue, improved gross profitability, and interest income earned on loans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Elite Express Holding Inc. </w:t>
        <w:br/>
        <w:t>23046 Avenida De La Carlota, Suite #600</w:t>
        <w:br/>
        <w:t>Laguna Hills, CA 92653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000250" cy="59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0250" cy="590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Yidan Chen, ETS’s CEO commented, “Our second quarter results demonstrate continued operational progress reflecting the continued effectiveness of our operational execution and efficiency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quarter, we continued to optimize route management, fleet utilization, and labor productivity while making significant investments in research and development to support our long-term technology strategy. Although these investments had a significant impact on our GAAP net results for the quarter, we believe they will strengthen our competitive position and enhance our long-term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federal securities laws. All statements other than statements of historical fact are forward-looking statements, including, but not limited to: projections of earnings, revenue, or other financial items; statements regarding the adequacy, availability, and sources of capital; statements of the plans, strategies, and objectives of management for future operations; statements concerning proposed new services or developments; statements regarding future economic conditions or performance; statements of belief; and statements of assumptions underlying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may include the words “may,” “will,” “estimate,” “intend,” “continue,” “believe,” “expect,” “plan,” “project,” “anticipate,” and other similar expressions. These forward-looking statements are based on current expectations and assumptions and are subject to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differ materially from those expressed or implied in the forward-looking statements include, among others, the risks and uncertainties described in the “Risk Factors” section of the Company’s Annual Report on Form 10-K for the fiscal year ended November 30, 2025, as well as in the Company’s subsequent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reflected in its forward-looking statements are reasonable, actual results could differ materially from those projected or assumed. The Company’s future financial condition and results of operations are subject to change and to inherent risks and uncertainties. Except as required by law, the Company undertakes no obligation to update any forward-looking statements to reflect events or circumstances after the date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this release should be read in conjunction with the Company’s unaudited condensed consolidated financial statements and related notes included in its Quarterly Report on Form 10-Q for the quarter ended May 31, 2026, which was filed with the Securites and Exchange Commission on July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758-0650</w:t>
        <w:br/>
      </w:r>
      <w:r>
        <w:rPr>
          <w:rFonts w:ascii="Times New Roman;Times;Serif" w:hAnsi="Times New Roman;Times;Serif"/>
          <w:b w:val="false"/>
          <w:i w:val="false"/>
          <w:caps w:val="false"/>
          <w:smallCaps w:val="false"/>
          <w:sz w:val="20"/>
          <w:u w:val="single"/>
        </w:rPr>
        <w:t>ir@eliteexpressholding.com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Elite Express Holding Inc. </w:t>
        <w:br/>
        <w:t>23046 Avenida De La Carlota, Suite #600</w:t>
        <w:br/>
        <w:t>Laguna Hills, CA 92653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000250" cy="590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0250"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&amp; ITS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3740"/>
        <w:gridCol w:w="60"/>
        <w:gridCol w:w="133"/>
        <w:gridCol w:w="1016"/>
        <w:gridCol w:w="85"/>
        <w:gridCol w:w="64"/>
        <w:gridCol w:w="133"/>
        <w:gridCol w:w="1019"/>
        <w:gridCol w:w="80"/>
        <w:gridCol w:w="60"/>
        <w:gridCol w:w="125"/>
        <w:gridCol w:w="950"/>
        <w:gridCol w:w="80"/>
        <w:gridCol w:w="60"/>
        <w:gridCol w:w="125"/>
        <w:gridCol w:w="950"/>
        <w:gridCol w:w="9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726,829</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1,532,127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1,322,393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67,041</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120,010</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343,973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730,934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737,940</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33,744</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124,336</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117,157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209,946</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repairs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83,877</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144,566</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645,792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1,293,725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1,336,798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81,037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(14,405</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2,150,000</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706,072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1,170,678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425,381</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2,856,072</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3,320,678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425,381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(2,775,035</w:t>
            </w:r>
          </w:p>
        </w:tc>
        <w:tc>
          <w:tcPr>
            <w:tcW w:w="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(123,760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(3,082,276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(439,786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216,101</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414,838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25,992</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21,285</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242,093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440,830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(2,532,942</w:t>
            </w:r>
          </w:p>
        </w:tc>
        <w:tc>
          <w:tcPr>
            <w:tcW w:w="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(107,204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(2,641,446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(418,501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(2,532,942</w:t>
            </w:r>
          </w:p>
        </w:tc>
        <w:tc>
          <w:tcPr>
            <w:tcW w:w="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(107,604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(2,643,046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(312,603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common share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(0.15</w:t>
            </w:r>
          </w:p>
        </w:tc>
        <w:tc>
          <w:tcPr>
            <w:tcW w:w="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(0.02</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16,716,672</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12,916,667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16,716,672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12,916,672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Elite Express Holding Inc. </w:t>
        <w:br/>
        <w:t>23046 Avenida De La Carlota, Suite #600</w:t>
        <w:br/>
        <w:t>Laguna Hills, CA 92653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000250" cy="590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00250" cy="5905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&amp; ITS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8188" w:type="dxa"/>
        <w:jc w:val="left"/>
        <w:tblInd w:w="0" w:type="dxa"/>
        <w:tblLayout w:type="fixed"/>
        <w:tblCellMar>
          <w:top w:w="0" w:type="dxa"/>
          <w:left w:w="0" w:type="dxa"/>
          <w:bottom w:w="0" w:type="dxa"/>
          <w:right w:w="0" w:type="dxa"/>
        </w:tblCellMar>
      </w:tblPr>
      <w:tblGrid>
        <w:gridCol w:w="4970"/>
        <w:gridCol w:w="60"/>
        <w:gridCol w:w="149"/>
        <w:gridCol w:w="1145"/>
        <w:gridCol w:w="60"/>
        <w:gridCol w:w="60"/>
        <w:gridCol w:w="194"/>
        <w:gridCol w:w="1475"/>
        <w:gridCol w:w="7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May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November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7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44"/>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5,235,991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1,308,529</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72,582</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9,649,811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9,999,811</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D&amp;O 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102,443</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2,548,873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898,191</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17,524,696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12,381,556</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167,008</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487,600</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668,858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668,858</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18,794,968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13,705,022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246,147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513,155</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246,147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513,155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18,548,821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13,191,867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44"/>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18,794,968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13,705,022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Elite Express Holding Inc. </w:t>
        <w:br/>
        <w:t>23046 Avenida De La Carlota, Suite #600</w:t>
        <w:br/>
        <w:t>Laguna Hills, CA 92653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000250" cy="590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0250"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 EXPRESS HOLDING INC. &amp; ITS SUBSIDIARY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5816" w:type="dxa"/>
        <w:jc w:val="left"/>
        <w:tblInd w:w="0" w:type="dxa"/>
        <w:tblLayout w:type="fixed"/>
        <w:tblCellMar>
          <w:top w:w="0" w:type="dxa"/>
          <w:left w:w="0" w:type="dxa"/>
          <w:bottom w:w="0" w:type="dxa"/>
          <w:right w:w="0" w:type="dxa"/>
        </w:tblCellMar>
      </w:tblPr>
      <w:tblGrid>
        <w:gridCol w:w="3455"/>
        <w:gridCol w:w="60"/>
        <w:gridCol w:w="134"/>
        <w:gridCol w:w="975"/>
        <w:gridCol w:w="86"/>
        <w:gridCol w:w="64"/>
        <w:gridCol w:w="134"/>
        <w:gridCol w:w="813"/>
        <w:gridCol w:w="95"/>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6"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(2,643,046</w:t>
            </w:r>
          </w:p>
        </w:tc>
        <w:tc>
          <w:tcPr>
            <w:tcW w:w="8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(312,603</w:t>
            </w:r>
          </w:p>
        </w:tc>
        <w:tc>
          <w:tcPr>
            <w:tcW w:w="95" w:type="dxa"/>
            <w:tcBorders/>
            <w:shd w:fill="FFFF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(4,344,650</w:t>
            </w:r>
          </w:p>
        </w:tc>
        <w:tc>
          <w:tcPr>
            <w:tcW w:w="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(294,052</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343,582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44"/>
              <w:jc w:val="left"/>
              <w:rPr/>
            </w:pPr>
            <w:r>
              <w:rPr/>
              <w:t> </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7,928,530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178,922</w:t>
            </w:r>
          </w:p>
        </w:tc>
        <w:tc>
          <w:tcPr>
            <w:tcW w:w="95"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44"/>
              <w:jc w:val="left"/>
              <w:rPr/>
            </w:pPr>
            <w:r>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(decrease) in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3,927,462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(115,130</w:t>
            </w:r>
          </w:p>
        </w:tc>
        <w:tc>
          <w:tcPr>
            <w:tcW w:w="95" w:type="dxa"/>
            <w:tcBorders/>
            <w:shd w:fill="CCEEFF" w:val="clear"/>
            <w:vAlign w:val="center"/>
          </w:tcPr>
          <w:p>
            <w:pPr>
              <w:pStyle w:val="TableContents"/>
              <w:bidi w:val="0"/>
              <w:spacing w:before="0" w:after="283"/>
              <w:ind w:left="0" w:right="0" w:hanging="14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1,308,529</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170,157</w:t>
            </w:r>
          </w:p>
        </w:tc>
        <w:tc>
          <w:tcPr>
            <w:tcW w:w="95"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5,235,991</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Elite Express Holding Inc. </w:t>
        <w:br/>
        <w:t>23046 Avenida De La Carlota, Suite #600</w:t>
        <w:br/>
        <w:t>Laguna Hills, CA 92653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1985</Words>
  <Characters>11306</Characters>
  <CharactersWithSpaces>13773</CharactersWithSpaces>
  <Paragraphs>1130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