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35d1_8k.htm"/>
      <w:bookmarkStart w:id="1" w:name="kstm262493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902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September 2,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u w:val="single"/>
        </w:rPr>
      </w:pPr>
      <w:bookmarkStart w:id="4" w:name="xdx_90E_edei--EntityRegistrantName_c2026"/>
      <w:bookmarkEnd w:id="4"/>
      <w:r>
        <w:rPr>
          <w:rFonts w:ascii="Times New Roman;Times;Serif" w:hAnsi="Times New Roman;Times;Serif"/>
          <w:b/>
          <w:i w:val="false"/>
          <w:caps w:val="false"/>
          <w:smallCaps w:val="false"/>
          <w:sz w:val="28"/>
          <w:u w:val="single"/>
        </w:rPr>
        <w:t>Elite Express Holding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180"/>
        <w:gridCol w:w="75"/>
        <w:gridCol w:w="2270"/>
        <w:gridCol w:w="75"/>
        <w:gridCol w:w="1610"/>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75" w:type="dxa"/>
            <w:tcBorders/>
            <w:tcMar>
              <w:bottom w:w="0" w:type="dxa"/>
            </w:tcMar>
            <w:vAlign w:val="center"/>
          </w:tcPr>
          <w:p>
            <w:pPr>
              <w:pStyle w:val="TableContents"/>
              <w:bidi w:val="0"/>
              <w:spacing w:before="0" w:after="283"/>
              <w:jc w:val="left"/>
              <w:rPr/>
            </w:pPr>
            <w:r>
              <w:rPr/>
              <w:t> </w:t>
            </w:r>
          </w:p>
        </w:tc>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902"/>
            <w:bookmarkEnd w:id="6"/>
            <w:r>
              <w:rPr>
                <w:rFonts w:ascii="Times New Roman;Times;Serif" w:hAnsi="Times New Roman;Times;Serif"/>
                <w:b/>
                <w:sz w:val="20"/>
              </w:rPr>
              <w:t>001-42811</w:t>
            </w:r>
          </w:p>
        </w:tc>
        <w:tc>
          <w:tcPr>
            <w:tcW w:w="75"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99-2516128</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75"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Number) </w:t>
            </w:r>
          </w:p>
        </w:tc>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 xml:space="preserve">Identification No.) </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3440"/>
        <w:gridCol w:w="60"/>
        <w:gridCol w:w="965"/>
      </w:tblGrid>
      <w:tr>
        <w:trPr/>
        <w:tc>
          <w:tcPr>
            <w:tcW w:w="34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23046 Avenida De La Carlota, </w:t>
            </w:r>
            <w:bookmarkStart w:id="9" w:name="xdx_904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Laguna Hills, </w:t>
            </w:r>
            <w:bookmarkStart w:id="11" w:name="xdx_909_edei--EntityAddressStateOrProvin"/>
            <w:bookmarkEnd w:id="11"/>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92653</w:t>
            </w:r>
          </w:p>
        </w:tc>
      </w:tr>
      <w:tr>
        <w:trPr/>
        <w:tc>
          <w:tcPr>
            <w:tcW w:w="34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Offices)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(Zip Code)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902__20"/>
      <w:bookmarkEnd w:id="13"/>
      <w:r>
        <w:rPr>
          <w:rFonts w:ascii="Times New Roman;Times;Serif" w:hAnsi="Times New Roman;Times;Serif"/>
          <w:b/>
          <w:i w:val="false"/>
          <w:caps w:val="false"/>
          <w:smallCaps w:val="false"/>
          <w:sz w:val="20"/>
        </w:rPr>
        <w:t xml:space="preserve">949) </w:t>
      </w:r>
      <w:bookmarkStart w:id="14" w:name="xdx_901_edei--LocalPhoneNumber_c20260902"/>
      <w:bookmarkEnd w:id="14"/>
      <w:r>
        <w:rPr>
          <w:rFonts w:ascii="Times New Roman;Times;Serif" w:hAnsi="Times New Roman;Times;Serif"/>
          <w:b/>
          <w:i w:val="false"/>
          <w:caps w:val="false"/>
          <w:smallCaps w:val="false"/>
          <w:sz w:val="20"/>
        </w:rPr>
        <w:t>758-0650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3_edei--SolicitingMaterial_c202609"/>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D_edei--Security12bTitle_c20260902"/>
            <w:bookmarkEnd w:id="19"/>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F_edei--TradingSymbol_c20260902__2"/>
            <w:bookmarkEnd w:id="20"/>
            <w:r>
              <w:rPr>
                <w:rFonts w:ascii="Times New Roman;Times;Serif" w:hAnsi="Times New Roman;Times;Serif"/>
                <w:sz w:val="20"/>
              </w:rPr>
              <w:t>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7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0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Elite Express Holding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2026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At the Annual Meeting, the Company’s stockholders approved the Elite Express Holding Inc. 2026 Stock Incentive Plan (the “</w:t>
      </w:r>
      <w:r>
        <w:rPr>
          <w:rFonts w:ascii="Times New Roman;Times;Serif" w:hAnsi="Times New Roman;Times;Serif"/>
          <w:b/>
          <w:i w:val="false"/>
          <w:caps w:val="false"/>
          <w:smallCaps w:val="false"/>
          <w:sz w:val="20"/>
        </w:rPr>
        <w:t>2026 Incentive Plan</w:t>
      </w:r>
      <w:r>
        <w:rPr>
          <w:rFonts w:ascii="Times New Roman;Times;Serif" w:hAnsi="Times New Roman;Times;Serif"/>
          <w:b w:val="false"/>
          <w:i w:val="false"/>
          <w:caps w:val="false"/>
          <w:smallCaps w:val="false"/>
          <w:sz w:val="20"/>
        </w:rPr>
        <w:t xml:space="preserve">”), which had previously been adopted by the Company’s Board of Directors on July 10, 2026, subject to stockholder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Incentive Plan provides for grants of stock options, restricted stock, restricted stock units and other cash- or stock-based awards to eligible employees, directors and consultants, with an initial share reserve of 6,000,000 shares of Class A common stock and 2,000,000 shares of Class B common stock, subject to annual increases and other adjustments provided under the plan. The 2026 Incentive Plan is administered by the Compensation Committee of the Board, which determines the recipients and terms of awards. The amounts that may be received by the Company’s executive officers under the 2026 Incentive Plan are not presently determinable.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stockholders voted on the matters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Company’s stockholders re-elected five directors, each to serve until the Company’s next annual meeting of stockholders or until their respective successors are duly elected or appointed. The voting results for each director nominee are summarized in the table below:</w:t>
      </w:r>
    </w:p>
    <w:p>
      <w:pPr>
        <w:pStyle w:val="TextBody"/>
        <w:bidi w:val="0"/>
        <w:spacing w:before="0" w:after="0"/>
        <w:ind w:left="0" w:right="0" w:hanging="0"/>
        <w:jc w:val="left"/>
        <w:rPr>
          <w:caps w:val="false"/>
          <w:smallCaps w:val="false"/>
        </w:rPr>
      </w:pPr>
      <w:r>
        <w:rPr>
          <w:caps w:val="false"/>
          <w:smallCaps w:val="false"/>
        </w:rPr>
        <w:t> </w:t>
      </w:r>
    </w:p>
    <w:tbl>
      <w:tblPr>
        <w:tblW w:w="4970" w:type="dxa"/>
        <w:jc w:val="left"/>
        <w:tblInd w:w="0" w:type="dxa"/>
        <w:tblLayout w:type="fixed"/>
        <w:tblCellMar>
          <w:top w:w="0" w:type="dxa"/>
          <w:left w:w="0" w:type="dxa"/>
          <w:bottom w:w="28" w:type="dxa"/>
          <w:right w:w="0" w:type="dxa"/>
        </w:tblCellMar>
      </w:tblPr>
      <w:tblGrid>
        <w:gridCol w:w="1550"/>
        <w:gridCol w:w="60"/>
        <w:gridCol w:w="1055"/>
        <w:gridCol w:w="60"/>
        <w:gridCol w:w="1175"/>
        <w:gridCol w:w="60"/>
        <w:gridCol w:w="1010"/>
      </w:tblGrid>
      <w:tr>
        <w:trPr/>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r>
      <w:tr>
        <w:trPr/>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Huan Liu</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101,447,601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5,413</w:t>
            </w:r>
          </w:p>
        </w:tc>
      </w:tr>
      <w:tr>
        <w:trPr/>
        <w:tc>
          <w:tcPr>
            <w:tcW w:w="15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Yidan Chen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101,454,347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5,413</w:t>
            </w:r>
          </w:p>
        </w:tc>
      </w:tr>
      <w:tr>
        <w:trPr/>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Huaqin He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101,454,347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5,413</w:t>
            </w:r>
          </w:p>
        </w:tc>
      </w:tr>
      <w:tr>
        <w:trPr/>
        <w:tc>
          <w:tcPr>
            <w:tcW w:w="15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Jianing Lu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101,454,347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5,413</w:t>
            </w:r>
          </w:p>
        </w:tc>
      </w:tr>
      <w:tr>
        <w:trPr/>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Huanhuan Tian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101,454,347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1,133,134 broker non-votes with respect to the election of the five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Company’s stockholders ratified the appointment of Audit Alliance LLP as the independent registered public accounting firm of the Company for the fiscal year ending November 30, 2026 (the “</w:t>
      </w:r>
      <w:r>
        <w:rPr>
          <w:rFonts w:ascii="Times New Roman;Times;Serif" w:hAnsi="Times New Roman;Times;Serif"/>
          <w:b/>
          <w:i w:val="false"/>
          <w:caps w:val="false"/>
          <w:smallCaps w:val="false"/>
          <w:sz w:val="20"/>
        </w:rPr>
        <w:t>Appointment</w:t>
      </w:r>
      <w:r>
        <w:rPr>
          <w:rFonts w:ascii="Times New Roman;Times;Serif" w:hAnsi="Times New Roman;Times;Serif"/>
          <w:b w:val="false"/>
          <w:i w:val="false"/>
          <w:caps w:val="false"/>
          <w:smallCaps w:val="false"/>
          <w:sz w:val="20"/>
        </w:rPr>
        <w:t>”). The voting results for the Appointment are summarized in the table below:</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28" w:type="dxa"/>
          <w:right w:w="0" w:type="dxa"/>
        </w:tblCellMar>
      </w:tblPr>
      <w:tblGrid>
        <w:gridCol w:w="1070"/>
        <w:gridCol w:w="60"/>
        <w:gridCol w:w="1175"/>
        <w:gridCol w:w="60"/>
        <w:gridCol w:w="1010"/>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102,590,571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broker non-votes with respect to the ratification of the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Company’s stockholders approved the 2026 Incentive Plan. The voting results for the 2026 Incentive Plan are summarized in the table below:</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28" w:type="dxa"/>
          <w:right w:w="0" w:type="dxa"/>
        </w:tblCellMar>
      </w:tblPr>
      <w:tblGrid>
        <w:gridCol w:w="1070"/>
        <w:gridCol w:w="60"/>
        <w:gridCol w:w="1175"/>
        <w:gridCol w:w="60"/>
        <w:gridCol w:w="1010"/>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101,438,876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1,133,134 broker non-votes with respect to the approval of the 2026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r>
      <w:tr>
        <w:trPr/>
        <w:tc>
          <w:tcPr>
            <w:tcW w:w="725"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Elite Express Holding Inc. 2026 Stock Incentive Plan (incorporated by reference to Appendix A to the Company’s Definitive Proxy Statement on Schedule 14A filed with the U.S. Securities and Exchange Commission on July 10,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320"/>
        <w:gridCol w:w="3845"/>
      </w:tblGrid>
      <w:tr>
        <w:trPr/>
        <w:tc>
          <w:tcPr>
            <w:tcW w:w="7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Elite Express Holding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53641/000110465926082668/tm2619543d3_def14a.htm" TargetMode="External"/><Relationship Id="rId3" Type="http://schemas.openxmlformats.org/officeDocument/2006/relationships/hyperlink" Target="https://www.sec.gov/ix?doc=/Archives/edgar/data/2053641/000110465926082668/tm2619543d3_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4559</Characters>
  <CharactersWithSpaces>5377</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