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3148d1_s3.htm"/>
      <w:bookmarkStart w:id="1" w:name="kstm2623148d1_s3"/>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U.S. Securities and Exchange Commission on August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br/>
        <w:t>REGISTRATION STATEMENT UNDER THE</w:t>
        <w:br/>
        <w:t>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ELITE EXPRESS HOLDING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2660"/>
        <w:gridCol w:w="60"/>
        <w:gridCol w:w="1565"/>
      </w:tblGrid>
      <w:tr>
        <w:trPr/>
        <w:tc>
          <w:tcPr>
            <w:tcW w:w="26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99-2516128</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23046 Avenida De La Carlota, Suite 600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Laguna Hills, CA 92653</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(949) 758-0650</w:t>
      </w:r>
      <w:r>
        <w:rPr>
          <w:rFonts w:ascii="Times New Roman;Times;Serif" w:hAnsi="Times New Roman;Times;Serif"/>
          <w:b w:val="false"/>
          <w:i w:val="false"/>
          <w:caps w:val="false"/>
          <w:smallCaps w:val="false"/>
          <w:sz w:val="20"/>
        </w:rPr>
        <w:b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Yidan Chen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23046 Avenida De La Carlota, Suite 600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Laguna Hills, CA 92653</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(949) 758-0650</w:t>
      </w:r>
      <w:r>
        <w:rPr>
          <w:rFonts w:ascii="Times New Roman;Times;Serif" w:hAnsi="Times New Roman;Times;Serif"/>
          <w:b w:val="false"/>
          <w:i w:val="false"/>
          <w:caps w:val="false"/>
          <w:smallCaps w:val="false"/>
          <w:sz w:val="20"/>
        </w:rPr>
        <w:b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Huan Lou, Esq.</w:t>
        <w:br/>
        <w:t>David Manno,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McCarter &amp; English, LLP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 West 55th St., 13</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br/>
        <w:t>(212) 609-6800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Securities and Exchange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AUGUST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562100" cy="1171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11715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br/>
        <w:t>Preferred Stock</w:t>
        <w:br/>
        <w:t>Debt Securities</w:t>
        <w:br/>
        <w:t>Warrants</w:t>
        <w:br/>
        <w:t>Rights</w:t>
        <w:b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Elite Express Holding Inc. (the “Company,” “we,” “us” or “our”) may offer and sell, from time to time in one or more offerings, any combination of shares of our Class A common stock, par value $0.000001 per share (“Class A Common Stock”), preferred stock, debt securities, warrants, rights or units having an aggregate offering price not exceeding $300,000,000. The preferred stock, debt securities, warrants, rights and units may be exercisable or exchangeable for Class A Common Stock, preferred stock or other securities of ours.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that we may offer. We will provide specific terms of the offerings of our securities in one or more supplements to this prospectus. The prospectus supplement may also add, update or change information in this prospectus. You should read this prospectus and any prospectus supplement, as well as the documents incorporated by reference or deemed to be incorporated by reference into this prospectus, carefully before you invest in any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offer or sell our securities unless accompanied by a prospectus supplement relating to the offered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may be sold directly by us, through dealers or agents designated from time to time, to or through underwriters, dealers or through a combination of these methods on a continuous or delayed basis. For additional information on the methods of sale, see the section entitled “Plan of Distribution” in this prospectus. We will also describe the plan of distribution for any particular offering of our securities in a prospectus supplement. If any agents, underwriters or dealers are involved in the sale of any securities in respect of which this prospectus is being delivered, we will disclose their names and the nature of our arrangements with them in a prospectus supplement. The price to the public of such securities and the net proceeds we expect to receive from any such sale will also be included in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currently listed on The Nasdaq Capital Market under the symbol “ETS.” On August 25, 2026, the last reported sale price of our Class A Common Stock on The Nasdaq Capital Market was $0.7883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our outstanding Class A Common Stock held by non-affiliates is approximately $ 55,687,506.20, based on 44,550,005 shares of Class A Common Stock outstanding as of August 26, 2026, of which 44,550,005 shares were held by non-affiliates, and a per-share price of $1.25, based on the closing sale price of our Class A Common Stock on The Nasdaq Capital Market on August 6, 2026, which was the highest closing sale price of our Class A Common Stock within the 60 days prior to the date of this prospectus. Pursuant to General Instruction I.B.6 of Form S-3, in no event will we sell securities in a public primary offering with a value exceeding one-third of our public float in any 12-month period so long as our public float remains below $75,000,000. During the 12 calendar months prior to and including the date of this prospectus, we have not offered or sold any securities pursuant to General Instruction I.B.6 of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You should carefully review the risks described under the heading “Risk Factors” beginning on page 4 and in the documents which are incorporated by reference herein and contained in the applicable prospectus supplement before you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August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7400"/>
        <w:gridCol w:w="590"/>
      </w:tblGrid>
      <w:tr>
        <w:trPr/>
        <w:tc>
          <w:tcPr>
            <w:tcW w:w="740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pPr>
            <w:r>
              <w:rPr>
                <w:b/>
              </w:rPr>
              <w:t>Page</w:t>
            </w:r>
            <w:r>
              <w:rPr/>
              <w:t> </w:t>
            </w:r>
          </w:p>
        </w:tc>
      </w:tr>
      <w:tr>
        <w:trPr/>
        <w:tc>
          <w:tcPr>
            <w:tcW w:w="740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590" w:type="dxa"/>
            <w:tcBorders/>
            <w:shd w:fill="CCEEFF" w:val="clear"/>
            <w:vAlign w:val="center"/>
          </w:tcPr>
          <w:p>
            <w:pPr>
              <w:pStyle w:val="TableContents"/>
              <w:bidi w:val="0"/>
              <w:spacing w:before="0" w:after="283"/>
              <w:jc w:val="center"/>
              <w:rPr/>
            </w:pPr>
            <w:hyperlink w:anchor="a_001">
              <w:r>
                <w:rPr>
                  <w:rStyle w:val="InternetLink"/>
                </w:rPr>
                <w:t>1</w:t>
              </w:r>
            </w:hyperlink>
          </w:p>
        </w:tc>
      </w:tr>
      <w:tr>
        <w:trPr/>
        <w:tc>
          <w:tcPr>
            <w:tcW w:w="7400" w:type="dxa"/>
            <w:tcBorders/>
            <w:shd w:fill="FFFFFF" w:val="clear"/>
            <w:vAlign w:val="center"/>
          </w:tcPr>
          <w:p>
            <w:pPr>
              <w:pStyle w:val="TableContents"/>
              <w:bidi w:val="0"/>
              <w:spacing w:before="0" w:after="283"/>
              <w:jc w:val="left"/>
              <w:rPr/>
            </w:pPr>
            <w:hyperlink w:anchor="a_002">
              <w:r>
                <w:rPr>
                  <w:rStyle w:val="InternetLink"/>
                </w:rPr>
                <w:t>SPECIAL NOTE REGARDING FORWARD-LOOKING STATEMENTS</w:t>
              </w:r>
            </w:hyperlink>
          </w:p>
        </w:tc>
        <w:tc>
          <w:tcPr>
            <w:tcW w:w="590" w:type="dxa"/>
            <w:tcBorders/>
            <w:shd w:fill="FFFFFF" w:val="clear"/>
            <w:vAlign w:val="center"/>
          </w:tcPr>
          <w:p>
            <w:pPr>
              <w:pStyle w:val="TableContents"/>
              <w:bidi w:val="0"/>
              <w:spacing w:before="0" w:after="283"/>
              <w:jc w:val="center"/>
              <w:rPr/>
            </w:pPr>
            <w:hyperlink w:anchor="a_002">
              <w:r>
                <w:rPr>
                  <w:rStyle w:val="InternetLink"/>
                </w:rPr>
                <w:t>2</w:t>
              </w:r>
            </w:hyperlink>
          </w:p>
        </w:tc>
      </w:tr>
      <w:tr>
        <w:trPr/>
        <w:tc>
          <w:tcPr>
            <w:tcW w:w="7400" w:type="dxa"/>
            <w:tcBorders/>
            <w:shd w:fill="CCEEFF" w:val="clear"/>
            <w:vAlign w:val="center"/>
          </w:tcPr>
          <w:p>
            <w:pPr>
              <w:pStyle w:val="TableContents"/>
              <w:bidi w:val="0"/>
              <w:spacing w:before="0" w:after="283"/>
              <w:jc w:val="left"/>
              <w:rPr/>
            </w:pPr>
            <w:hyperlink w:anchor="a_003">
              <w:r>
                <w:rPr>
                  <w:rStyle w:val="InternetLink"/>
                </w:rPr>
                <w:t>PROSPECTUS SUMMARY</w:t>
              </w:r>
            </w:hyperlink>
          </w:p>
        </w:tc>
        <w:tc>
          <w:tcPr>
            <w:tcW w:w="590" w:type="dxa"/>
            <w:tcBorders/>
            <w:shd w:fill="CCEEFF" w:val="clear"/>
            <w:vAlign w:val="center"/>
          </w:tcPr>
          <w:p>
            <w:pPr>
              <w:pStyle w:val="TableContents"/>
              <w:bidi w:val="0"/>
              <w:spacing w:before="0" w:after="283"/>
              <w:jc w:val="center"/>
              <w:rPr/>
            </w:pPr>
            <w:hyperlink w:anchor="a_003">
              <w:r>
                <w:rPr>
                  <w:rStyle w:val="InternetLink"/>
                </w:rPr>
                <w:t>3</w:t>
              </w:r>
            </w:hyperlink>
          </w:p>
        </w:tc>
      </w:tr>
      <w:tr>
        <w:trPr/>
        <w:tc>
          <w:tcPr>
            <w:tcW w:w="7400" w:type="dxa"/>
            <w:tcBorders/>
            <w:shd w:fill="FFFFFF" w:val="clear"/>
            <w:vAlign w:val="center"/>
          </w:tcPr>
          <w:p>
            <w:pPr>
              <w:pStyle w:val="TableContents"/>
              <w:bidi w:val="0"/>
              <w:spacing w:before="0" w:after="283"/>
              <w:jc w:val="left"/>
              <w:rPr/>
            </w:pPr>
            <w:hyperlink w:anchor="a_004">
              <w:r>
                <w:rPr>
                  <w:rStyle w:val="InternetLink"/>
                </w:rPr>
                <w:t>RISK FACTORS</w:t>
              </w:r>
            </w:hyperlink>
          </w:p>
        </w:tc>
        <w:tc>
          <w:tcPr>
            <w:tcW w:w="590" w:type="dxa"/>
            <w:tcBorders/>
            <w:shd w:fill="FFFFFF" w:val="clear"/>
            <w:vAlign w:val="center"/>
          </w:tcPr>
          <w:p>
            <w:pPr>
              <w:pStyle w:val="TableContents"/>
              <w:bidi w:val="0"/>
              <w:spacing w:before="0" w:after="283"/>
              <w:jc w:val="center"/>
              <w:rPr/>
            </w:pPr>
            <w:hyperlink w:anchor="a_004">
              <w:r>
                <w:rPr>
                  <w:rStyle w:val="InternetLink"/>
                </w:rPr>
                <w:t>4</w:t>
              </w:r>
            </w:hyperlink>
          </w:p>
        </w:tc>
      </w:tr>
      <w:tr>
        <w:trPr/>
        <w:tc>
          <w:tcPr>
            <w:tcW w:w="7400" w:type="dxa"/>
            <w:tcBorders/>
            <w:shd w:fill="CCEEFF" w:val="clear"/>
            <w:vAlign w:val="center"/>
          </w:tcPr>
          <w:p>
            <w:pPr>
              <w:pStyle w:val="TableContents"/>
              <w:bidi w:val="0"/>
              <w:spacing w:before="0" w:after="283"/>
              <w:jc w:val="left"/>
              <w:rPr/>
            </w:pPr>
            <w:hyperlink w:anchor="a_005">
              <w:r>
                <w:rPr>
                  <w:rStyle w:val="InternetLink"/>
                </w:rPr>
                <w:t>USE OF PROCEEDS</w:t>
              </w:r>
            </w:hyperlink>
          </w:p>
        </w:tc>
        <w:tc>
          <w:tcPr>
            <w:tcW w:w="590" w:type="dxa"/>
            <w:tcBorders/>
            <w:shd w:fill="CCEEFF" w:val="clear"/>
            <w:vAlign w:val="center"/>
          </w:tcPr>
          <w:p>
            <w:pPr>
              <w:pStyle w:val="TableContents"/>
              <w:bidi w:val="0"/>
              <w:spacing w:before="0" w:after="283"/>
              <w:jc w:val="center"/>
              <w:rPr/>
            </w:pPr>
            <w:hyperlink w:anchor="a_005">
              <w:r>
                <w:rPr>
                  <w:rStyle w:val="InternetLink"/>
                </w:rPr>
                <w:t>4</w:t>
              </w:r>
            </w:hyperlink>
          </w:p>
        </w:tc>
      </w:tr>
      <w:tr>
        <w:trPr/>
        <w:tc>
          <w:tcPr>
            <w:tcW w:w="7400" w:type="dxa"/>
            <w:tcBorders/>
            <w:shd w:fill="FFFFFF" w:val="clear"/>
            <w:vAlign w:val="center"/>
          </w:tcPr>
          <w:p>
            <w:pPr>
              <w:pStyle w:val="TableContents"/>
              <w:bidi w:val="0"/>
              <w:spacing w:before="0" w:after="283"/>
              <w:jc w:val="left"/>
              <w:rPr/>
            </w:pPr>
            <w:hyperlink w:anchor="a_006">
              <w:r>
                <w:rPr>
                  <w:rStyle w:val="InternetLink"/>
                </w:rPr>
                <w:t>THE SECURITIES WE MAY OFFER</w:t>
              </w:r>
            </w:hyperlink>
          </w:p>
        </w:tc>
        <w:tc>
          <w:tcPr>
            <w:tcW w:w="590" w:type="dxa"/>
            <w:tcBorders/>
            <w:shd w:fill="FFFFFF" w:val="clear"/>
            <w:vAlign w:val="center"/>
          </w:tcPr>
          <w:p>
            <w:pPr>
              <w:pStyle w:val="TableContents"/>
              <w:bidi w:val="0"/>
              <w:spacing w:before="0" w:after="283"/>
              <w:jc w:val="center"/>
              <w:rPr/>
            </w:pPr>
            <w:hyperlink w:anchor="a_006">
              <w:r>
                <w:rPr>
                  <w:rStyle w:val="InternetLink"/>
                </w:rPr>
                <w:t>4</w:t>
              </w:r>
            </w:hyperlink>
          </w:p>
        </w:tc>
      </w:tr>
      <w:tr>
        <w:trPr/>
        <w:tc>
          <w:tcPr>
            <w:tcW w:w="7400" w:type="dxa"/>
            <w:tcBorders/>
            <w:shd w:fill="CCEEFF" w:val="clear"/>
            <w:vAlign w:val="center"/>
          </w:tcPr>
          <w:p>
            <w:pPr>
              <w:pStyle w:val="TableContents"/>
              <w:bidi w:val="0"/>
              <w:spacing w:before="0" w:after="283"/>
              <w:jc w:val="left"/>
              <w:rPr/>
            </w:pPr>
            <w:hyperlink w:anchor="a_007">
              <w:r>
                <w:rPr>
                  <w:rStyle w:val="InternetLink"/>
                </w:rPr>
                <w:t>DESCRIPTION OF CAPITAL STOCK</w:t>
              </w:r>
            </w:hyperlink>
          </w:p>
        </w:tc>
        <w:tc>
          <w:tcPr>
            <w:tcW w:w="590" w:type="dxa"/>
            <w:tcBorders/>
            <w:shd w:fill="CCEEFF" w:val="clear"/>
            <w:vAlign w:val="center"/>
          </w:tcPr>
          <w:p>
            <w:pPr>
              <w:pStyle w:val="TableContents"/>
              <w:bidi w:val="0"/>
              <w:spacing w:before="0" w:after="283"/>
              <w:jc w:val="center"/>
              <w:rPr/>
            </w:pPr>
            <w:hyperlink w:anchor="a_007">
              <w:r>
                <w:rPr>
                  <w:rStyle w:val="InternetLink"/>
                </w:rPr>
                <w:t>5</w:t>
              </w:r>
            </w:hyperlink>
          </w:p>
        </w:tc>
      </w:tr>
      <w:tr>
        <w:trPr/>
        <w:tc>
          <w:tcPr>
            <w:tcW w:w="7400" w:type="dxa"/>
            <w:tcBorders/>
            <w:shd w:fill="FFFFFF" w:val="clear"/>
            <w:vAlign w:val="center"/>
          </w:tcPr>
          <w:p>
            <w:pPr>
              <w:pStyle w:val="TableContents"/>
              <w:bidi w:val="0"/>
              <w:spacing w:before="0" w:after="283"/>
              <w:jc w:val="left"/>
              <w:rPr/>
            </w:pPr>
            <w:hyperlink w:anchor="a_008">
              <w:r>
                <w:rPr>
                  <w:rStyle w:val="InternetLink"/>
                </w:rPr>
                <w:t>DESCRIPTION OF DEBT SECURITIES</w:t>
              </w:r>
            </w:hyperlink>
          </w:p>
        </w:tc>
        <w:tc>
          <w:tcPr>
            <w:tcW w:w="590" w:type="dxa"/>
            <w:tcBorders/>
            <w:shd w:fill="FFFFFF" w:val="clear"/>
            <w:vAlign w:val="center"/>
          </w:tcPr>
          <w:p>
            <w:pPr>
              <w:pStyle w:val="TableContents"/>
              <w:bidi w:val="0"/>
              <w:spacing w:before="0" w:after="283"/>
              <w:jc w:val="center"/>
              <w:rPr/>
            </w:pPr>
            <w:hyperlink w:anchor="a_008">
              <w:r>
                <w:rPr>
                  <w:rStyle w:val="InternetLink"/>
                </w:rPr>
                <w:t>8</w:t>
              </w:r>
            </w:hyperlink>
          </w:p>
        </w:tc>
      </w:tr>
      <w:tr>
        <w:trPr/>
        <w:tc>
          <w:tcPr>
            <w:tcW w:w="7400" w:type="dxa"/>
            <w:tcBorders/>
            <w:shd w:fill="CCEEFF" w:val="clear"/>
            <w:vAlign w:val="center"/>
          </w:tcPr>
          <w:p>
            <w:pPr>
              <w:pStyle w:val="TableContents"/>
              <w:bidi w:val="0"/>
              <w:spacing w:before="0" w:after="283"/>
              <w:jc w:val="left"/>
              <w:rPr/>
            </w:pPr>
            <w:hyperlink w:anchor="a_009">
              <w:r>
                <w:rPr>
                  <w:rStyle w:val="InternetLink"/>
                </w:rPr>
                <w:t>DESCRIPTION OF WARRANTS</w:t>
              </w:r>
            </w:hyperlink>
          </w:p>
        </w:tc>
        <w:tc>
          <w:tcPr>
            <w:tcW w:w="590" w:type="dxa"/>
            <w:tcBorders/>
            <w:shd w:fill="CCEEFF" w:val="clear"/>
            <w:vAlign w:val="center"/>
          </w:tcPr>
          <w:p>
            <w:pPr>
              <w:pStyle w:val="TableContents"/>
              <w:bidi w:val="0"/>
              <w:spacing w:before="0" w:after="283"/>
              <w:jc w:val="center"/>
              <w:rPr/>
            </w:pPr>
            <w:hyperlink w:anchor="a_009">
              <w:r>
                <w:rPr>
                  <w:rStyle w:val="InternetLink"/>
                </w:rPr>
                <w:t>11</w:t>
              </w:r>
            </w:hyperlink>
          </w:p>
        </w:tc>
      </w:tr>
      <w:tr>
        <w:trPr/>
        <w:tc>
          <w:tcPr>
            <w:tcW w:w="7400" w:type="dxa"/>
            <w:tcBorders/>
            <w:shd w:fill="FFFFFF" w:val="clear"/>
            <w:vAlign w:val="center"/>
          </w:tcPr>
          <w:p>
            <w:pPr>
              <w:pStyle w:val="TableContents"/>
              <w:bidi w:val="0"/>
              <w:spacing w:before="0" w:after="283"/>
              <w:jc w:val="left"/>
              <w:rPr/>
            </w:pPr>
            <w:hyperlink w:anchor="a_010">
              <w:r>
                <w:rPr>
                  <w:rStyle w:val="InternetLink"/>
                </w:rPr>
                <w:t>DESCRIPTION OF RIGHTS</w:t>
              </w:r>
            </w:hyperlink>
          </w:p>
        </w:tc>
        <w:tc>
          <w:tcPr>
            <w:tcW w:w="590" w:type="dxa"/>
            <w:tcBorders/>
            <w:shd w:fill="FFFFFF" w:val="clear"/>
            <w:vAlign w:val="center"/>
          </w:tcPr>
          <w:p>
            <w:pPr>
              <w:pStyle w:val="TableContents"/>
              <w:bidi w:val="0"/>
              <w:spacing w:before="0" w:after="283"/>
              <w:jc w:val="center"/>
              <w:rPr/>
            </w:pPr>
            <w:hyperlink w:anchor="a_010">
              <w:r>
                <w:rPr>
                  <w:rStyle w:val="InternetLink"/>
                </w:rPr>
                <w:t>12</w:t>
              </w:r>
            </w:hyperlink>
          </w:p>
        </w:tc>
      </w:tr>
      <w:tr>
        <w:trPr/>
        <w:tc>
          <w:tcPr>
            <w:tcW w:w="7400" w:type="dxa"/>
            <w:tcBorders/>
            <w:shd w:fill="CCEEFF" w:val="clear"/>
            <w:vAlign w:val="center"/>
          </w:tcPr>
          <w:p>
            <w:pPr>
              <w:pStyle w:val="TableContents"/>
              <w:bidi w:val="0"/>
              <w:spacing w:before="0" w:after="283"/>
              <w:jc w:val="left"/>
              <w:rPr/>
            </w:pPr>
            <w:hyperlink w:anchor="a_011">
              <w:r>
                <w:rPr>
                  <w:rStyle w:val="InternetLink"/>
                </w:rPr>
                <w:t>DESCRIPTION OF UNITS</w:t>
              </w:r>
            </w:hyperlink>
          </w:p>
        </w:tc>
        <w:tc>
          <w:tcPr>
            <w:tcW w:w="590" w:type="dxa"/>
            <w:tcBorders/>
            <w:shd w:fill="CCEEFF" w:val="clear"/>
            <w:vAlign w:val="center"/>
          </w:tcPr>
          <w:p>
            <w:pPr>
              <w:pStyle w:val="TableContents"/>
              <w:bidi w:val="0"/>
              <w:spacing w:before="0" w:after="283"/>
              <w:jc w:val="center"/>
              <w:rPr/>
            </w:pPr>
            <w:hyperlink w:anchor="a_011">
              <w:r>
                <w:rPr>
                  <w:rStyle w:val="InternetLink"/>
                </w:rPr>
                <w:t>13</w:t>
              </w:r>
            </w:hyperlink>
          </w:p>
        </w:tc>
      </w:tr>
      <w:tr>
        <w:trPr/>
        <w:tc>
          <w:tcPr>
            <w:tcW w:w="7400" w:type="dxa"/>
            <w:tcBorders/>
            <w:shd w:fill="FFFFFF" w:val="clear"/>
            <w:vAlign w:val="center"/>
          </w:tcPr>
          <w:p>
            <w:pPr>
              <w:pStyle w:val="TableContents"/>
              <w:bidi w:val="0"/>
              <w:spacing w:before="0" w:after="283"/>
              <w:jc w:val="left"/>
              <w:rPr/>
            </w:pPr>
            <w:hyperlink w:anchor="a_012">
              <w:r>
                <w:rPr>
                  <w:rStyle w:val="InternetLink"/>
                </w:rPr>
                <w:t>PLAN OF DISTRIBUTION</w:t>
              </w:r>
            </w:hyperlink>
          </w:p>
        </w:tc>
        <w:tc>
          <w:tcPr>
            <w:tcW w:w="590" w:type="dxa"/>
            <w:tcBorders/>
            <w:shd w:fill="FFFFFF" w:val="clear"/>
            <w:vAlign w:val="center"/>
          </w:tcPr>
          <w:p>
            <w:pPr>
              <w:pStyle w:val="TableContents"/>
              <w:bidi w:val="0"/>
              <w:spacing w:before="0" w:after="283"/>
              <w:jc w:val="center"/>
              <w:rPr/>
            </w:pPr>
            <w:hyperlink w:anchor="a_012">
              <w:r>
                <w:rPr>
                  <w:rStyle w:val="InternetLink"/>
                </w:rPr>
                <w:t>13</w:t>
              </w:r>
            </w:hyperlink>
          </w:p>
        </w:tc>
      </w:tr>
      <w:tr>
        <w:trPr/>
        <w:tc>
          <w:tcPr>
            <w:tcW w:w="7400" w:type="dxa"/>
            <w:tcBorders/>
            <w:shd w:fill="CCEEFF" w:val="clear"/>
            <w:vAlign w:val="center"/>
          </w:tcPr>
          <w:p>
            <w:pPr>
              <w:pStyle w:val="TableContents"/>
              <w:bidi w:val="0"/>
              <w:spacing w:before="0" w:after="283"/>
              <w:jc w:val="left"/>
              <w:rPr/>
            </w:pPr>
            <w:hyperlink w:anchor="a_013">
              <w:r>
                <w:rPr>
                  <w:rStyle w:val="InternetLink"/>
                </w:rPr>
                <w:t>LEGAL MATTERS</w:t>
              </w:r>
            </w:hyperlink>
          </w:p>
        </w:tc>
        <w:tc>
          <w:tcPr>
            <w:tcW w:w="590" w:type="dxa"/>
            <w:tcBorders/>
            <w:shd w:fill="CCEEFF" w:val="clear"/>
            <w:vAlign w:val="center"/>
          </w:tcPr>
          <w:p>
            <w:pPr>
              <w:pStyle w:val="TableContents"/>
              <w:bidi w:val="0"/>
              <w:spacing w:before="0" w:after="283"/>
              <w:jc w:val="center"/>
              <w:rPr/>
            </w:pPr>
            <w:hyperlink w:anchor="a_013">
              <w:r>
                <w:rPr>
                  <w:rStyle w:val="InternetLink"/>
                </w:rPr>
                <w:t>16</w:t>
              </w:r>
            </w:hyperlink>
          </w:p>
        </w:tc>
      </w:tr>
      <w:tr>
        <w:trPr/>
        <w:tc>
          <w:tcPr>
            <w:tcW w:w="7400" w:type="dxa"/>
            <w:tcBorders/>
            <w:shd w:fill="FFFFFF" w:val="clear"/>
            <w:vAlign w:val="center"/>
          </w:tcPr>
          <w:p>
            <w:pPr>
              <w:pStyle w:val="TableContents"/>
              <w:bidi w:val="0"/>
              <w:spacing w:before="0" w:after="283"/>
              <w:jc w:val="left"/>
              <w:rPr/>
            </w:pPr>
            <w:hyperlink w:anchor="a_014">
              <w:r>
                <w:rPr>
                  <w:rStyle w:val="InternetLink"/>
                </w:rPr>
                <w:t>EXPERTS</w:t>
              </w:r>
            </w:hyperlink>
          </w:p>
        </w:tc>
        <w:tc>
          <w:tcPr>
            <w:tcW w:w="590" w:type="dxa"/>
            <w:tcBorders/>
            <w:shd w:fill="FFFFFF" w:val="clear"/>
            <w:vAlign w:val="center"/>
          </w:tcPr>
          <w:p>
            <w:pPr>
              <w:pStyle w:val="TableContents"/>
              <w:bidi w:val="0"/>
              <w:spacing w:before="0" w:after="283"/>
              <w:jc w:val="center"/>
              <w:rPr/>
            </w:pPr>
            <w:hyperlink w:anchor="a_014">
              <w:r>
                <w:rPr>
                  <w:rStyle w:val="InternetLink"/>
                </w:rPr>
                <w:t>16</w:t>
              </w:r>
            </w:hyperlink>
          </w:p>
        </w:tc>
      </w:tr>
      <w:tr>
        <w:trPr/>
        <w:tc>
          <w:tcPr>
            <w:tcW w:w="7400" w:type="dxa"/>
            <w:tcBorders/>
            <w:shd w:fill="CCEEFF" w:val="clear"/>
            <w:vAlign w:val="center"/>
          </w:tcPr>
          <w:p>
            <w:pPr>
              <w:pStyle w:val="TableContents"/>
              <w:bidi w:val="0"/>
              <w:spacing w:before="0" w:after="283"/>
              <w:jc w:val="left"/>
              <w:rPr/>
            </w:pPr>
            <w:hyperlink w:anchor="a_015">
              <w:r>
                <w:rPr>
                  <w:rStyle w:val="InternetLink"/>
                </w:rPr>
                <w:t>WHERE YOU CAN FIND MORE INFORMATION</w:t>
              </w:r>
            </w:hyperlink>
          </w:p>
        </w:tc>
        <w:tc>
          <w:tcPr>
            <w:tcW w:w="590" w:type="dxa"/>
            <w:tcBorders/>
            <w:shd w:fill="CCEEFF" w:val="clear"/>
            <w:vAlign w:val="center"/>
          </w:tcPr>
          <w:p>
            <w:pPr>
              <w:pStyle w:val="TableContents"/>
              <w:bidi w:val="0"/>
              <w:spacing w:before="0" w:after="283"/>
              <w:jc w:val="center"/>
              <w:rPr/>
            </w:pPr>
            <w:hyperlink w:anchor="a_015">
              <w:r>
                <w:rPr>
                  <w:rStyle w:val="InternetLink"/>
                </w:rPr>
                <w:t>16</w:t>
              </w:r>
            </w:hyperlink>
          </w:p>
        </w:tc>
      </w:tr>
      <w:tr>
        <w:trPr/>
        <w:tc>
          <w:tcPr>
            <w:tcW w:w="7400" w:type="dxa"/>
            <w:tcBorders/>
            <w:shd w:fill="FFFFFF" w:val="clear"/>
            <w:vAlign w:val="center"/>
          </w:tcPr>
          <w:p>
            <w:pPr>
              <w:pStyle w:val="TableContents"/>
              <w:bidi w:val="0"/>
              <w:spacing w:before="0" w:after="283"/>
              <w:jc w:val="left"/>
              <w:rPr/>
            </w:pPr>
            <w:hyperlink w:anchor="a_016">
              <w:r>
                <w:rPr>
                  <w:rStyle w:val="InternetLink"/>
                </w:rPr>
                <w:t>INCORPORATION OF DOCUMENTS BY REFERENCE</w:t>
              </w:r>
            </w:hyperlink>
          </w:p>
        </w:tc>
        <w:tc>
          <w:tcPr>
            <w:tcW w:w="590" w:type="dxa"/>
            <w:tcBorders/>
            <w:shd w:fill="FFFFFF" w:val="clear"/>
            <w:vAlign w:val="center"/>
          </w:tcPr>
          <w:p>
            <w:pPr>
              <w:pStyle w:val="TableContents"/>
              <w:bidi w:val="0"/>
              <w:spacing w:before="0" w:after="283"/>
              <w:jc w:val="center"/>
              <w:rPr/>
            </w:pPr>
            <w:hyperlink w:anchor="a_016">
              <w:r>
                <w:rPr>
                  <w:rStyle w:val="InternetLink"/>
                </w:rPr>
                <w:t>17</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and any accompanying prospectus supplement or incorporated by reference in these documents. No dealer, salesperson or other person is authorized to give any information or to represent anything not contained or incorporated by reference in this prospectus or the accompanying prospectus supplement. If anyone provides you with different, inconsistent or unauthorized information or representations, you must not rely on them. This prospectus and any accompanying prospectus supplement are an offer to sell only the securities offered by these documents, but only under circumstances and in jurisdictions where it is lawful to do so. The information contained in this prospectus or any prospectus supplement is current only as of the date on the front of those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U.S. Securities and Exchange Commission (the “SEC”) using a “shelf” registration process. Under this shelf registration process, we may sell any combination of the securities described in this prospectus in one or more offerings from time to time having an aggregate offering price of up to $300,000,000. This prospectus provides you with a general description of the securities that we may offer. Each time that we offer securities, we will provide you with a prospectus supplement that describes the specific amounts, prices and terms of the securities that we offer. The prospectus supplement also may add, update or change information contained in this prospectus. You should read carefully both this prospectus, including the section entitled “Risk Factors,” and any prospectus supplement, together with the additional information described below under the headings “Where You Can Find More Information” and “Incorporation of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prospectus does not contain all the information provided in the registration statement that we filed with the SEC. For further information, we refer you to the registration statement, including its exhibits. The registration statement can be read on the SEC’s website or at the SEC’s offices mentioned below under the heading “Where You Can Find More Information”. Statements contained in this prospectus and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and any prospectus supplement. We have not authorized any other person to provide you with different information. If anyone provides you with different or inconsistent information, you should not rely on it. This prospectus is not an offer to sell securities, and it is not soliciting an offer to buy securities in any jurisdiction where the offer or sale is not permitted. You should assume that the information appearing in this prospectus or any prospectus supplement, as well as information we have previously filed with the SEC and incorporated by reference, is accurate as of the date on the front of those documents only. Our business, financial condition, results of operations and prospects may have changed since those dates. This prospectus may not be used to consummate a sale of our securities unless it is accompanied by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we refer to Elite Express Holding Inc. as “we,” “us,” “our,” “ETS,” “Elite Express” and the “Company,” unless we specifically state otherwise or the context indicates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amendment and the information incorporated by reference into this prospectus, including the sections entitled “Risk Factors”, contain “forward-looking statements” within the meaning of Section 21(E) of the Securities Exchange Act of 1934, as amended (the “Exchange Act”), and Section 27A of the Securities Act. These forward-looking statements include, without limitation: statements regarding new products or services; statements concerning litigation or other matters; statements concerning projections, predictions, expectations, estimates or forecasts for our business, financial and operating results and future economic performance; statements of our management’s goals and objectives; statements concerning our competitive environment, availability of resources and regulation; trends affecting our financial condition, results of operations or future prospects; our financing plans or growth strategies; and other similar expressions concerning matters that are not historical facts. Words such as “may”, “will”, “should”, “could”, “would”, “predicts”, “potential”, “continue”, “expects”, “anticipates”, “future”, “intends”, “plans”, “believes” and “estimates,” and variations of such terms or similar expressions, are intended to identify such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should not be read as a guarantee of future performance or results and will not necessarily be accurate indications of the times at, or by which, that performance or those results will be achieved. Forward-looking statements are based on information available at the time they are made and/or our management’s good faith belief as of that time with respect to future events. Our actual results may differ materially from those expressed in, or implied by, the forward-looking statements due to a number of factors including, but not limited to, those set forth under the heading “Risk Factors” in this prospectus, as well as other risks discussed in documents that we file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they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 You should review our subsequent reports filed with the SEC described in the sections of this prospectus entitled “Where You Can Find More Information” and “Incorporation of Documents by Reference,” all of which are accessible on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Delaware. Through our wholly owned subsidiary, JAR Transportation Inc., a California corporation (“JAR”), we specialize in last-mile delivery services within California. Our core business focuses on retrieving packages from distribution hubs and ensuring their prompt and secure delivery to recipients’ doorsteps. Committed to innovation and efficiency, our mission is to optimize last-mile logistics by providing efficient, reliable and innovative delivery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Elite Express Holding Inc. was incorporated on April 3, 2024 under the laws of the State of Delaware and was formed for the purpose of acquiring JAR. On October 25, 2024, we acquired all issued and outstanding shares of JAR for total cash consideration of $1,367,169, after which JAR became our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employed approximately 29 full-time staff, including approximately 23 drivers. Our fleet consisted of approximately 22 trucks and trailers. We provide exclusive pickup and delivery services within our designated service area, covering approximately 1,665.28 square miles. We utilize GroundCloud, a leading logistics software, during our course of business, for route optimization, driver management and compliance monitoring.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actively expanding our investment in advanced technologies to enhance our scalability, automate our operations and drive our data-driven decision-making. On an average day, we complete between 1,100 to 1,700 stops, facilitating the pickup and delivery of approximately 1,800 to 2,500 packages. During peak seasons, our daily stops rise to an estimated 2,000, allowing us to meet heightened demand with efficiency and reliability.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pick up packages from the distribution hubs of FedEx and deliver them to recipients within designated service areas. While FedEx has been our only customer under an Independent Service Provider (“ISP”) agreement, we are actively exploring opportunities to expand our customer base, diversify our revenue streams and strengthen our market presence.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holding company, prior to the acquisition of JAR on October 25, 2024, did not have any active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the laws of the State of Delaware on April 3, 2024. JAR was incorporated under the laws of the State of California on May 27, 2020, and became our wholly owned subsidiary on October 25, 2024. Our principal executive offices are located at 23046 Avenida De La Carlota, Suite 600, Laguna Hills, California 92653, and our telephone number is (949) 758-0650. Our website address is https://www.eliteexpressholding.com. The information on, or that can be accessed through, our website is not part of this prospectus and is not incorporated by reference herein. We have included our website address as an inactive textual reference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any securities offered pursuant to this prospectus and the applicable prospectus supplement involves risks. You should carefully consider the risk factors incorporated by reference to our Annual Report on Form 10-K for the fiscal year ended November 30, 2025, filed with the SEC on February 27, 2026, as amended by Amendment No. 1 on Form 10-K/A filed with the SEC on March 18, 2026,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and free writing prospectus before acquiring any such securities. The occurrence of any of these risks might cause you to lose all or part of your investment in the offered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other unknown or unpredictable operational, regulatory, economic, business, competitive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flows could be seriously harmed. This could cause the trading price of our securities to decline, resulting in a loss of all or part of your investment. Please also carefully read the section entitled “Special Note Regarding Forward-Looking Statements” included in this prospectus and any similar section contained in any applicable prospectus supplement or free writing prospectus, and the documents incorporated by reference herein and therein, concerning factors you should consider before investing in our securities.</w:t>
      </w:r>
    </w:p>
    <w:p>
      <w:pPr>
        <w:pStyle w:val="TextBody"/>
        <w:bidi w:val="0"/>
        <w:spacing w:before="0" w:after="0"/>
        <w:ind w:left="0" w:right="0" w:hanging="0"/>
        <w:jc w:val="left"/>
        <w:rPr>
          <w:caps w:val="false"/>
          <w:smallCaps w:val="false"/>
        </w:rPr>
      </w:pPr>
      <w:r>
        <w:rPr>
          <w:caps w:val="false"/>
          <w:smallCaps w:val="false"/>
        </w:rPr>
        <w:t> </w:t>
      </w: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securities as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THE SECURITIES THAT WE MAY OFFER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descriptions of the securities contained in this prospectus, together with the applicable prospectus supplements, summarize all of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such securities may differ from the terms that we have summarized below. We will also include in the prospectus supplement information, where applicable, about material United States federal income tax considerations relating to the securities, and the securities exchange, if any, on which such securities will be 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w:t>
      </w:r>
    </w:p>
    <w:p>
      <w:pPr>
        <w:pStyle w:val="TextBody"/>
        <w:bidi w:val="0"/>
        <w:spacing w:before="0" w:after="0"/>
        <w:ind w:left="0" w:right="0" w:hanging="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of our Class A Common Stock;</w:t>
            </w:r>
          </w:p>
        </w:tc>
      </w:tr>
    </w:tbl>
    <w:p>
      <w:pPr>
        <w:pStyle w:val="TextBody"/>
        <w:bidi w:val="0"/>
        <w:spacing w:before="0" w:after="0"/>
        <w:ind w:left="0" w:right="0" w:firstLine="720"/>
        <w:jc w:val="left"/>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17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of our preferred stock;</w:t>
            </w:r>
          </w:p>
        </w:tc>
      </w:tr>
    </w:tbl>
    <w:p>
      <w:pPr>
        <w:pStyle w:val="TextBody"/>
        <w:bidi w:val="0"/>
        <w:spacing w:before="0" w:after="0"/>
        <w:ind w:left="0" w:right="0" w:firstLine="720"/>
        <w:jc w:val="left"/>
        <w:rPr>
          <w:caps w:val="false"/>
          <w:smallCaps w:val="false"/>
        </w:rPr>
      </w:pPr>
      <w:r>
        <w:rPr>
          <w:caps w:val="false"/>
          <w:smallCaps w:val="false"/>
        </w:rPr>
        <w:t> </w:t>
      </w:r>
    </w:p>
    <w:tbl>
      <w:tblPr>
        <w:tblW w:w="1473" w:type="dxa"/>
        <w:jc w:val="left"/>
        <w:tblInd w:w="0" w:type="dxa"/>
        <w:tblLayout w:type="fixed"/>
        <w:tblCellMar>
          <w:top w:w="0" w:type="dxa"/>
          <w:left w:w="0" w:type="dxa"/>
          <w:bottom w:w="0" w:type="dxa"/>
          <w:right w:w="0" w:type="dxa"/>
        </w:tblCellMar>
      </w:tblPr>
      <w:tblGrid>
        <w:gridCol w:w="38"/>
        <w:gridCol w:w="17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debt securities;</w:t>
            </w:r>
          </w:p>
        </w:tc>
      </w:tr>
    </w:tbl>
    <w:p>
      <w:pPr>
        <w:pStyle w:val="TextBody"/>
        <w:bidi w:val="0"/>
        <w:spacing w:before="0" w:after="0"/>
        <w:ind w:left="0" w:right="0" w:firstLine="720"/>
        <w:jc w:val="left"/>
        <w:rPr>
          <w:caps w:val="false"/>
          <w:smallCaps w:val="false"/>
        </w:rPr>
      </w:pPr>
      <w:r>
        <w:rPr>
          <w:caps w:val="false"/>
          <w:smallCaps w:val="false"/>
        </w:rPr>
        <w:t> </w:t>
      </w:r>
    </w:p>
    <w:tbl>
      <w:tblPr>
        <w:tblW w:w="7698" w:type="dxa"/>
        <w:jc w:val="left"/>
        <w:tblInd w:w="0" w:type="dxa"/>
        <w:tblLayout w:type="fixed"/>
        <w:tblCellMar>
          <w:top w:w="0" w:type="dxa"/>
          <w:left w:w="0" w:type="dxa"/>
          <w:bottom w:w="0" w:type="dxa"/>
          <w:right w:w="0" w:type="dxa"/>
        </w:tblCellMar>
      </w:tblPr>
      <w:tblGrid>
        <w:gridCol w:w="38"/>
        <w:gridCol w:w="17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to purchase shares of our Class A Common Stock, preferred stock or debt securities;</w:t>
            </w:r>
          </w:p>
        </w:tc>
      </w:tr>
    </w:tbl>
    <w:p>
      <w:pPr>
        <w:pStyle w:val="TextBody"/>
        <w:bidi w:val="0"/>
        <w:spacing w:before="0" w:after="0"/>
        <w:ind w:left="0" w:right="0" w:firstLine="720"/>
        <w:jc w:val="left"/>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17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rights to purchase shares of our Class A Common Stock, preferred stock or other securities; and/or</w:t>
            </w:r>
          </w:p>
        </w:tc>
      </w:tr>
    </w:tbl>
    <w:p>
      <w:pPr>
        <w:pStyle w:val="TextBody"/>
        <w:bidi w:val="0"/>
        <w:spacing w:before="0" w:after="0"/>
        <w:ind w:left="0" w:right="0" w:firstLine="720"/>
        <w:jc w:val="left"/>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17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units consisting of any of the securities listed above.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securities that we offer will be determined at the time of sale. We may issue securities that are exchangeable or exercisable for Class A Common Stock or any of the other securities that may be sold under this prospectus. When particular securities are offered, a supplement to this prospectus will be filed with the SEC, which will describe the terms of the offering and sale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of our securities is not complete and may not contain all the information you should consider before investing in our securities. This description is summarized from, and qualified in its entirety by reference to, our amended and restated certificate of incorporation (our “Certificate of Incorporation”) and our amended and restated bylaws (our “Bylaws”), copies of which are incorporated by reference as exhibits to the registration statement of which this prospectus forms a part. The summary below is also qualified by reference to the provisions of the Delaware General Corporation Law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1,005,000,000 shares, par value $0.000001 per share, consisting of 900,000,000 shares of Class A Common Stock, 100,000,000 shares of Class B common stock (“Class B Common Stock”) and 5,000,000 shares of preferred stock (“Preferred Stock”). As of the date of this prospectus, 44,550,005 shares of Class A Common Stock and 4,166,667 shares of Class B Common Stock were issued and outstanding. As of the date of this prospectus, no shares of Preferred Stock were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Except as otherwise required by law or provided in our Certificate of Incorporation, holders of Class A Common Stock and Class B Common Stock vote together as a single class on all matters submitted to a vote of stockholders. Each share of Class A Common Stock is entitled to one vote, and each share of Class B Common Stock is entitled to 15 votes. Stockholders do not have cumulative voting rights in the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 Rights</w:t>
      </w:r>
      <w:r>
        <w:rPr>
          <w:rFonts w:ascii="Times New Roman;Times;Serif" w:hAnsi="Times New Roman;Times;Serif"/>
          <w:b w:val="false"/>
          <w:i w:val="false"/>
          <w:caps w:val="false"/>
          <w:smallCaps w:val="false"/>
          <w:sz w:val="20"/>
        </w:rPr>
        <w:t>. Each share of Class B Common Stock is convertible, at any time after issuance and at the option of the holder, into one share of Class A Common Stock. Shares of Class A Common Stock are not convertible into shares of any other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Subject to preferences that may apply to any then-outstanding Preferred Stock, holders of Class A Common Stock and Class B Common Stock are entitled to receive dividends, if any, as may be declared by our board of directors out of funds legally available for that purpose. Except for voting and conversion rights, holders of Class A Common Stock and Class B Common Stock have the same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 Rights</w:t>
      </w:r>
      <w:r>
        <w:rPr>
          <w:rFonts w:ascii="Times New Roman;Times;Serif" w:hAnsi="Times New Roman;Times;Serif"/>
          <w:b w:val="false"/>
          <w:i w:val="false"/>
          <w:caps w:val="false"/>
          <w:smallCaps w:val="false"/>
          <w:sz w:val="20"/>
        </w:rPr>
        <w:t>. 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w:t>
      </w:r>
      <w:r>
        <w:rPr>
          <w:rFonts w:ascii="Times New Roman;Times;Serif" w:hAnsi="Times New Roman;Times;Serif"/>
          <w:b w:val="false"/>
          <w:i w:val="false"/>
          <w:caps w:val="false"/>
          <w:smallCaps w:val="false"/>
          <w:sz w:val="20"/>
        </w:rPr>
        <w:t>. Except for the conversion rights of the Class B Common Stock described above, 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authorizes our board of directors, without further action by our stockholders, to issue up to 5,000,000 shares of Preferred Stock in one or more series and to fix the designations, powers, preferences and relative, participating, optional or other special rights, and the qualifications, limitations or restrictions, of each series. These rights may include dividend rights, voting rights, conversion rights, redemption provisions, sinking fund provisions and liquidation preferences. The issuance of Preferred Stock could adversely affect the voting power and other rights of holders of our Class A Common Stock and could have the effect of delaying, deferring or preventing a change in control of our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Forum Selection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 of our Bylaws provides that, unless we consent in writing to the selection of an alternative forum, the federal district courts of the United States of America will be the sole and exclusive forum for the resolution of any complaint asserting a cause of action arising under the Securities Act. This exclusive forum provision does not apply to claims arising under the Exchange Act, for which the federal courts have exclusive jurisdiction, or to any other claim for which the federal courts have exclusive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exclusive forum provision may limit a stockholder’s ability to bring a claim in a judicial forum that it finds favorable and may increase the costs associated with such a claim. There is uncertainty as to whether a court would enforce this provision, and stockholders cannot waive compliance with the federal securities laws and the rules and regulations thereunder. If a court were to find this provision inapplicable or unenforceable, we may incur additional costs associated with resolving the dispute in another forum. Any person or entity purchasing or otherwise acquiring any interest in shares of our capital stock will be deemed to have notice of and consented to this provision.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DGCL, our Certificate of Incorporation and our Bylaws could have the effect of delaying, deferring or preventing a change in control of our company or changes in our management that stockholders may consider favorable. These provisions may also discourage proxy contests and make it more difficult for stockholders to elect directors and take other corporate actions.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DGCL. In general, Section 203 prohibits a Delaware corporation from engaging in a business combination with an interested stockholder for three years after the time that the stockholder became an interested stockholder, unless: (i) before that time, the board of directors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corporation’s voting stock outstanding at the time the transaction commenced, excluding certain shares; or (iii) at or after that time, the business combination is approved by the board of directors and authorized at a stockholder meeting by the affirmative vote of at least 66 2/3% of the outstanding voting stock not owned by the interested stockholder. Generally, an “interested stockholder” is a person who, together with affiliates and associates, owns or, within the prior three years, owned 15% or more of the corporation’s outstanding voting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include provisions that may have an anti-takeover effect,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authorization of a dual-class common stock structure under which each share of Class B Common Stock has 15 votes, compared with one vote for each share of Class A Common Stock;</w:t>
            </w:r>
          </w:p>
        </w:tc>
      </w:tr>
    </w:tbl>
    <w:p>
      <w:pPr>
        <w:pStyle w:val="TextBody"/>
        <w:bidi w:val="0"/>
        <w:spacing w:before="0" w:after="0"/>
        <w:ind w:left="360" w:right="0" w:hanging="2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authorization of “blank check” Preferred Stock that our board of directors may issue without stockholder approval, subject to applicable law and Nasdaq rules;</w:t>
            </w:r>
          </w:p>
        </w:tc>
      </w:tr>
    </w:tbl>
    <w:p>
      <w:pPr>
        <w:pStyle w:val="TextBody"/>
        <w:bidi w:val="0"/>
        <w:spacing w:before="0" w:after="0"/>
        <w:ind w:left="360" w:right="0" w:hanging="2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power of our board of directors to fix the number of directors and to fill vacancies and newly created directorships, subject to the rights of holders of any series of Preferred Stock;</w:t>
            </w:r>
          </w:p>
        </w:tc>
      </w:tr>
    </w:tbl>
    <w:p>
      <w:pPr>
        <w:pStyle w:val="TextBody"/>
        <w:bidi w:val="0"/>
        <w:spacing w:before="0" w:after="0"/>
        <w:ind w:left="360" w:right="0" w:hanging="2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limitation of the persons who may call a special meeting of stockholders to our Chief Executive Officer, the chairperson of our board of directors or our board of directors pursuant to a resolution adopted by a majority of the total number of authorized directors;</w:t>
            </w:r>
          </w:p>
        </w:tc>
      </w:tr>
    </w:tbl>
    <w:p>
      <w:pPr>
        <w:pStyle w:val="TextBody"/>
        <w:bidi w:val="0"/>
        <w:spacing w:before="0" w:after="0"/>
        <w:ind w:left="360" w:right="0" w:hanging="2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advance notice requirements for stockholder proposals and nominations of candidates for election to our board of directors; and</w:t>
            </w:r>
          </w:p>
        </w:tc>
      </w:tr>
    </w:tbl>
    <w:p>
      <w:pPr>
        <w:pStyle w:val="TextBody"/>
        <w:bidi w:val="0"/>
        <w:spacing w:before="0" w:after="0"/>
        <w:ind w:left="360" w:right="0" w:hanging="2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authority of our board of directors and holders of at least a majority of the outstanding voting power to amend our Bylaws, subject to applicable law and our Certificate of Incorporation.</w:t>
            </w:r>
          </w:p>
        </w:tc>
      </w:tr>
    </w:tbl>
    <w:p>
      <w:pPr>
        <w:pStyle w:val="TextBody"/>
        <w:bidi w:val="0"/>
        <w:spacing w:before="0" w:after="0"/>
        <w:ind w:left="360" w:right="0" w:hanging="25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permit stockholder action by written consent if the consent is signed by holders of outstanding stock having not less than the minimum number of votes that would be necessary to authorize the action at a meeting at which all shares entitled to vote were present and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Authorized but Unissued Shares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but unissued shares of Class A Common Stock, Class B Common Stock and Preferred Stock are available for issuance without stockholder approval, subject to applicable law and Nasdaq rules. We may use these shares for a variety of corporate purposes, including raising additional capital, acquisitions and employee stock plans. The existence of our authorized but unissued shares of common stock could render it more difficult or discourage an attempt to obtain control of the company by means of a proxy context, tender offer, merger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on Liability and Indemnification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to the fullest extent permitted by the DGCL, no director will be personally liable to us or our stockholders for monetary damages for breach of fiduciary duty as a director. The DGCL currently permits such limitation of liability, except for liability: (i) for any breach of the director’s duty of loyalty to us or our stockholders; (ii) for acts or omissions not in good faith or that involve intentional misconduct or a knowing violation of law; (iii) under Section 174 of the DGCL; or (iv) for any transaction from which the director derived an improper personal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 of our Bylaws requires us, to the fullest extent permitted by applicable law, to indemnify and hold harmless our directors and officers and to advance expenses incurred by them in defending covered proceedings, subject to the conditions set forth in our Bylaws and the DGCL. Our Bylaws also permit us to maintain insurance for our directors, officers, employees and agents. We purchased directors’ and officers’ liability insurance on August 21, 2025 and renewed on August 10,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under the foregoing provisions, we have been informed that, in the opinion of the SEC, such indemnification is against public policy as expressed in the Securities Act and is therefore unenforceable.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on The Nasdaq Capital Market under the symbol “ETS.”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Vstock Transfer, LLC, telephone 212-828-8436, located at 18 Lafayette Place, Woodmere, NY 11598, as the transfer agent for our common stock.</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40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“debt securities” means the debentures, notes, bonds and other evidences of indebtedness that we may issue from time to time. The debt securities will either be senior debt securities, senior subordinated debt or subordinated debt securities. We may also issue convertible debt securities. We may issue debt securities and incur additional indebtedness other than through the offering of debt securities pursuant to this prospectus. In connection with the issuance of any debt securities, we do not intend to issue them pursuant to a trust indenture upon reliance of Section 304(a)(8) of the Trust Indenture Act and Rule 4a-1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may be fully and unconditionally guaranteed on a secured or unsecured senior or subordinated basis by one or more guarantors, if any. The obligations of any guarantor under its guarantee will be limited as necessary to prevent that guarantee from constituting a fraudulent conveyance under applicable law. In the event that any series of debt securities will be subordinated to other indebtedness that we have outstanding or may incur, the terms of the subordination will be set forth in the prospectus supplement relating to the subordinated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from time to time in one or more series, in each case with the same or various maturities, at par or at a discount.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and will be equal in ranking.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supplement will describe the terms relating to the specific series of debt securities. These terms will include some or all of the following:</w:t>
      </w:r>
    </w:p>
    <w:p>
      <w:pPr>
        <w:pStyle w:val="TextBody"/>
        <w:bidi w:val="0"/>
        <w:spacing w:before="0" w:after="0"/>
        <w:ind w:left="0" w:right="0" w:hanging="0"/>
        <w:jc w:val="both"/>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38"/>
        <w:gridCol w:w="17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debt securities and whether the debt securities are senior or subordinated;</w:t>
            </w:r>
          </w:p>
        </w:tc>
      </w:tr>
    </w:tbl>
    <w:p>
      <w:pPr>
        <w:pStyle w:val="TextBody"/>
        <w:bidi w:val="0"/>
        <w:spacing w:before="0" w:after="0"/>
        <w:ind w:left="0" w:right="0" w:firstLine="720"/>
        <w:jc w:val="both"/>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 on the aggregate principal amount of debt securities of such series;</w:t>
            </w:r>
          </w:p>
        </w:tc>
      </w:tr>
    </w:tbl>
    <w:p>
      <w:pPr>
        <w:pStyle w:val="TextBody"/>
        <w:bidi w:val="0"/>
        <w:spacing w:before="0" w:after="0"/>
        <w:ind w:left="0" w:right="0" w:firstLine="720"/>
        <w:jc w:val="both"/>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percentage of the principal amount at which the debt securities of any series will be issued;</w:t>
            </w:r>
          </w:p>
        </w:tc>
      </w:tr>
    </w:tbl>
    <w:p>
      <w:pPr>
        <w:pStyle w:val="TextBody"/>
        <w:bidi w:val="0"/>
        <w:spacing w:before="0" w:after="0"/>
        <w:ind w:left="0" w:right="0" w:firstLine="720"/>
        <w:jc w:val="both"/>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issue additional debt securities of the same series;</w:t>
            </w:r>
          </w:p>
        </w:tc>
      </w:tr>
    </w:tbl>
    <w:p>
      <w:pPr>
        <w:pStyle w:val="TextBody"/>
        <w:bidi w:val="0"/>
        <w:spacing w:before="0" w:after="0"/>
        <w:ind w:left="0" w:right="0" w:firstLine="72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17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price for the debt securities and the denominations of the debt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17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specific designation of the series of debt securities being offered;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maturity date or dates of the debt securities and the date or dates upon which the debt securities are payable and the rate or rates at which the debt securities of the series shall bear interest, if any, which may be fixed or variable, or the method by which such rate shall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basis for calculating interest;</w:t>
            </w:r>
          </w:p>
        </w:tc>
      </w:tr>
    </w:tbl>
    <w:p>
      <w:pPr>
        <w:pStyle w:val="TextBody"/>
        <w:bidi w:val="0"/>
        <w:spacing w:before="0" w:after="0"/>
        <w:ind w:left="0" w:right="0" w:firstLine="72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or dates from which any interest will accrue or the method by which such date or dates will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17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duration of any deferral period, including the period during which interest payment periods may be extended;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dates on which we will pay interest on the debt securities and the regular record date for determining who is entitled to the interest payable on any interest payment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17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rate or rates of amortization of the debt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17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terms for the attachment to the debt securities of warrants, options or other rights to purchase or sell our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debt securities will be secured by any collateral and, if so, a general description of the collateral and the terms and provisions of such collateral security, pledge or other agreements;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possess the option to do so, the periods within which and the prices at which we may redeem the debt securities, in whole or in part, pursuant to optional redemption provisions, and the other terms and conditions of any such provisions;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obligation or discretion,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tc>
      </w:tr>
    </w:tbl>
    <w:p>
      <w:pPr>
        <w:pStyle w:val="TextBody"/>
        <w:bidi w:val="0"/>
        <w:spacing w:before="0" w:after="0"/>
        <w:ind w:left="0" w:right="0" w:hanging="0"/>
        <w:jc w:val="left"/>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7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conditions, if any, regarding the option or mandatory conversion or exchange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period or periods within which, the price or prices at which and the terms and conditions upon which any debt securities of the series may be redeemed, in whole or in part at our option and, if other than by a board resolution, the manner in which any election by us to redeem the debt securities shall be evidenced;</w:t>
            </w:r>
          </w:p>
        </w:tc>
      </w:tr>
    </w:tbl>
    <w:p>
      <w:pPr>
        <w:pStyle w:val="TextBody"/>
        <w:bidi w:val="0"/>
        <w:spacing w:before="0" w:after="0"/>
        <w:ind w:left="0" w:right="0" w:hanging="0"/>
        <w:jc w:val="left"/>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170"/>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restriction or condition on the transferability of the debt securities of a particular series;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or methods of determining the portion, of the principal amount of the debt securities which we must pay upon the acceleration of the maturity of the debt securities in connection with any event of default;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currencies in which the debt securities will be denominated and in which principal, any premium and any interest will or may be payable or a description of any units based on or relating to a currency or currencies in which the debt securities will be denominated;</w:t>
            </w:r>
          </w:p>
        </w:tc>
      </w:tr>
    </w:tbl>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if any, granting special rights to holders of the debt securities upon the occurrence of specified events;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deletions from, modifications of or additions to the events of default or our covenants with respect to the applicable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170"/>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limitation on our ability to incur debt, redeem stock, sell our assets or other restrictions;</w:t>
            </w:r>
          </w:p>
        </w:tc>
      </w:tr>
    </w:tbl>
    <w:p>
      <w:pPr>
        <w:pStyle w:val="TextBody"/>
        <w:bidi w:val="0"/>
        <w:spacing w:before="0" w:after="0"/>
        <w:ind w:left="0" w:right="0" w:hanging="0"/>
        <w:jc w:val="left"/>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17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what subordination provisions will apply to the debt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10113" w:type="dxa"/>
        <w:jc w:val="left"/>
        <w:tblInd w:w="0" w:type="dxa"/>
        <w:tblLayout w:type="fixed"/>
        <w:tblCellMar>
          <w:top w:w="0" w:type="dxa"/>
          <w:left w:w="0" w:type="dxa"/>
          <w:bottom w:w="0" w:type="dxa"/>
          <w:right w:w="0" w:type="dxa"/>
        </w:tblCellMar>
      </w:tblPr>
      <w:tblGrid>
        <w:gridCol w:w="38"/>
        <w:gridCol w:w="170"/>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if any, upon which the holders may convert or exchange the debt securities into or for our securities or property;</w:t>
            </w:r>
          </w:p>
        </w:tc>
      </w:tr>
    </w:tbl>
    <w:p>
      <w:pPr>
        <w:pStyle w:val="TextBody"/>
        <w:bidi w:val="0"/>
        <w:spacing w:before="0" w:after="0"/>
        <w:ind w:left="0" w:right="0" w:hanging="0"/>
        <w:jc w:val="left"/>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we are issuing the debt securities in whole or in part in global form;</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change in the right of the trustee or the requisite holders of debt securities to declare the principal amount thereof due and payable because of an event of default;</w:t>
            </w:r>
          </w:p>
        </w:tc>
      </w:tr>
    </w:tbl>
    <w:p>
      <w:pPr>
        <w:pStyle w:val="TextBody"/>
        <w:bidi w:val="0"/>
        <w:spacing w:before="0" w:after="0"/>
        <w:ind w:left="0" w:right="0" w:hanging="0"/>
        <w:jc w:val="left"/>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depositary for global or certificated debt securities, if 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material federal income tax consequences applicable to the debt securities, including any debt securities denominated and made payable, as described in the prospectus supplements, in foreign currencies, or units based on or related to foreign currencies;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right we may have to satisfy, discharge and defease our obligations under the debt securities, or terminate or eliminate restrictive covenants or events of default applicable to the debt securities, as described in the applicable prospectus supplement;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of any trustees, depositories, authenticating or paying agents, transfer agents or registrars or other agents with respect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principal of or any premium or interest on any debt securities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the principal amount of any debt securities which shall be payable upon declaration of acceleration of the maturity of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principal amount payable at the stated maturity of any debt security of the series will not be determinable as of any one or more dates prior to the stated maturity, the amount which shall be deemed to be the principal amount of such debt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of the debt securities, including any modifications to the events of default under the debt securities and any other terms which may be required by or advisable under applicable laws or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we do not anticipate the debt securities will be listed on any securities exchange. Holders of the debt securities may present registered debt securities for exchange or transfer in the manner described in the applicable prospectus supplement. We will provide these services without charge, other than any tax or other governmental charge payable in connection with the exchange or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bear interest at a fixed rate or a variable rate as specified in the prospectus supplement. In addition, if specified in the prospectus supplement, we may sell debt securities bearing no interest or interest at a rate that at the time of issuance is below the prevailing market rate, or at a discount below their stated principal amount. We will describe in the applicable prospectus supplement any special federal income tax considerations applicable to these discounted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with the principal amount payable on any principal payment date, or the amount of interest payable on any interest payment date, to be determined by referring to one or more currency exchange rates, commodity prices, equity indices or other factors. Holders of such debt securities may receive a principal amount on any principal payment date, or interest payments on any interest payment date, that are greater or less than the amount of principal or interest otherwise payable on such dates, depending upon the value on such dates of applicable currency, commodity, equity index or other factors. The applicable prospectus supplement will contain information as to how we will determine the amount of principal or interest payable on any date, as well as the currencies, commodities, equity indices or other factors to which the amount payable on that date relates and certain additional tax considerations.</w:t>
      </w:r>
    </w:p>
    <w:p>
      <w:pPr>
        <w:pStyle w:val="TextBody"/>
        <w:bidi w:val="0"/>
        <w:spacing w:before="0" w:after="0"/>
        <w:ind w:left="0" w:right="0" w:hanging="0"/>
        <w:jc w:val="both"/>
        <w:rPr>
          <w:caps w:val="false"/>
          <w:smallCaps w:val="false"/>
        </w:rPr>
      </w:pPr>
      <w:r>
        <w:rPr>
          <w:caps w:val="false"/>
          <w:smallCaps w:val="false"/>
        </w:rPr>
        <w:t>  </w:t>
      </w:r>
      <w:r>
        <w:rPr>
          <w:caps/>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shares of our Class A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contain, where applicable, the following terms of and other information relating to the warrants:</w:t>
      </w:r>
    </w:p>
    <w:p>
      <w:pPr>
        <w:pStyle w:val="TextBody"/>
        <w:bidi w:val="0"/>
        <w:spacing w:before="0" w:after="0"/>
        <w:ind w:left="0" w:right="0" w:hanging="0"/>
        <w:jc w:val="both"/>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17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specific designation and aggregate number of, and the price at which we will issue, the warrants;</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currency units in which the offering price, if any, and the exercise price are payable;</w:t>
            </w:r>
          </w:p>
        </w:tc>
      </w:tr>
    </w:tbl>
    <w:p>
      <w:pPr>
        <w:pStyle w:val="TextBody"/>
        <w:bidi w:val="0"/>
        <w:spacing w:before="0" w:after="0"/>
        <w:ind w:left="0" w:right="0" w:hanging="0"/>
        <w:jc w:val="left"/>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38"/>
        <w:gridCol w:w="170"/>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amount and terms of the securities purchasable upon exercise of the warrants;</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exercise price for shares of our Class A Common Stock and the number of shares of Class A Common Stock to be received upon exercise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exercise price for shares of our preferred stock, the number of shares of preferred stock to be received upon exercise, and a description of that series of our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exercise price for our debt securities, the amount of debt securities to be received upon exercise, and a description of that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warrants will begin and the date on which that right will expire or, if you may not continuously exercise the warrants throughout that period, the specific date or dates on which you may exercise the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tc>
      </w:tr>
    </w:tbl>
    <w:p>
      <w:pPr>
        <w:pStyle w:val="TextBody"/>
        <w:bidi w:val="0"/>
        <w:spacing w:before="0" w:after="0"/>
        <w:ind w:left="0" w:right="0" w:hanging="0"/>
        <w:jc w:val="left"/>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38"/>
        <w:gridCol w:w="170"/>
        <w:gridCol w:w="5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applicable material U.S. federal income tax consequences;</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identity of the warrant agent for the warrants and of any other depositaries, execution or paying agents, transfer agents, registrars or other agents;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proposed listing, if any, of the warrants or any securities purchasable upon exercise of the warrants on any securities exchange;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from and after which the warrants, Class A Common Stock, preferred stock and/or debt securities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8"/>
        <w:gridCol w:w="170"/>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amount of the warrants that may be exercised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with respect to book-entry procedures, if any;</w:t>
            </w:r>
          </w:p>
        </w:tc>
      </w:tr>
    </w:tbl>
    <w:p>
      <w:pPr>
        <w:pStyle w:val="TextBody"/>
        <w:bidi w:val="0"/>
        <w:spacing w:before="0" w:after="0"/>
        <w:ind w:left="0" w:right="0" w:firstLine="720"/>
        <w:jc w:val="left"/>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17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anti-dilution provisions of the warrants, if any;</w:t>
            </w:r>
          </w:p>
        </w:tc>
      </w:tr>
    </w:tbl>
    <w:p>
      <w:pPr>
        <w:pStyle w:val="TextBody"/>
        <w:bidi w:val="0"/>
        <w:spacing w:before="0" w:after="0"/>
        <w:ind w:left="0" w:right="0" w:firstLine="720"/>
        <w:jc w:val="left"/>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17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redemption or call provisions;</w:t>
            </w:r>
          </w:p>
        </w:tc>
      </w:tr>
    </w:tbl>
    <w:p>
      <w:pPr>
        <w:pStyle w:val="TextBody"/>
        <w:bidi w:val="0"/>
        <w:spacing w:before="0" w:after="0"/>
        <w:ind w:left="0" w:right="0" w:firstLine="72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warrants may be sold separately or with other securities as parts of units; and</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additional terms of the warrants, including terms, procedures and limitations relating to the exchange and exercise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 outstanding warrants, options, convertible securities or other securities exercisable for or convertible into shares of our capital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DESCRIPTION OF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shares of our Class A Common Stock, preferred stock, debt securities or other securities. These rights may be issued independently or together with any other security offered hereby and may or may not be transferable by the holder receiving the rights in such offering. The applicable prospectus supplement may add, update or change the terms and conditions of the rights as described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specific terms of any offering of rights for which this prospectus is being delivered, including the following:</w:t>
      </w:r>
    </w:p>
    <w:p>
      <w:pPr>
        <w:pStyle w:val="TextBody"/>
        <w:bidi w:val="0"/>
        <w:spacing w:before="0" w:after="0"/>
        <w:ind w:left="0" w:right="0" w:hanging="0"/>
        <w:jc w:val="both"/>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17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if any, per right;</w:t>
            </w:r>
          </w:p>
        </w:tc>
      </w:tr>
    </w:tbl>
    <w:p>
      <w:pPr>
        <w:pStyle w:val="TextBody"/>
        <w:bidi w:val="0"/>
        <w:spacing w:before="0" w:after="0"/>
        <w:ind w:left="0" w:right="0" w:firstLine="720"/>
        <w:jc w:val="left"/>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17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payable for Class A Common Stock, preferred stock or other securities upon the exercise of the rights;</w:t>
            </w:r>
          </w:p>
        </w:tc>
      </w:tr>
    </w:tbl>
    <w:p>
      <w:pPr>
        <w:pStyle w:val="TextBody"/>
        <w:bidi w:val="0"/>
        <w:spacing w:before="0" w:after="0"/>
        <w:ind w:left="0" w:right="0" w:hanging="0"/>
        <w:jc w:val="left"/>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17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rights issued or to be issued to each holder;</w:t>
            </w:r>
          </w:p>
        </w:tc>
      </w:tr>
    </w:tbl>
    <w:p>
      <w:pPr>
        <w:pStyle w:val="TextBody"/>
        <w:bidi w:val="0"/>
        <w:spacing w:before="0" w:after="0"/>
        <w:ind w:left="0" w:right="0" w:firstLine="720"/>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and terms of Class A Common Stock, preferred stock or other securities which may be purchased per right;</w:t>
            </w:r>
          </w:p>
        </w:tc>
      </w:tr>
    </w:tbl>
    <w:p>
      <w:pPr>
        <w:pStyle w:val="TextBody"/>
        <w:bidi w:val="0"/>
        <w:spacing w:before="0" w:after="0"/>
        <w:ind w:left="0" w:right="0" w:hanging="0"/>
        <w:jc w:val="left"/>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the rights are transferable;</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rights, including the terms, procedures and limitations relating to the exchange and exercise of the rights;</w:t>
            </w:r>
          </w:p>
        </w:tc>
      </w:tr>
    </w:tbl>
    <w:p>
      <w:pPr>
        <w:pStyle w:val="TextBody"/>
        <w:bidi w:val="0"/>
        <w:spacing w:before="0" w:after="0"/>
        <w:ind w:left="0" w:right="0" w:hanging="0"/>
        <w:jc w:val="left"/>
        <w:rPr>
          <w:caps w:val="false"/>
          <w:smallCaps w:val="false"/>
        </w:rPr>
      </w:pPr>
      <w:r>
        <w:rPr>
          <w:caps w:val="false"/>
          <w:smallCaps w:val="false"/>
        </w:rPr>
        <w:t> </w:t>
      </w:r>
    </w:p>
    <w:tbl>
      <w:tblPr>
        <w:tblW w:w="10083" w:type="dxa"/>
        <w:jc w:val="left"/>
        <w:tblInd w:w="0" w:type="dxa"/>
        <w:tblLayout w:type="fixed"/>
        <w:tblCellMar>
          <w:top w:w="0" w:type="dxa"/>
          <w:left w:w="0" w:type="dxa"/>
          <w:bottom w:w="0" w:type="dxa"/>
          <w:right w:w="0" w:type="dxa"/>
        </w:tblCellMar>
      </w:tblPr>
      <w:tblGrid>
        <w:gridCol w:w="38"/>
        <w:gridCol w:w="170"/>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holder’s ability to exercise the rights shall commence, and the date on which the rights shall expire;</w:t>
            </w:r>
          </w:p>
        </w:tc>
      </w:tr>
    </w:tbl>
    <w:p>
      <w:pPr>
        <w:pStyle w:val="TextBody"/>
        <w:bidi w:val="0"/>
        <w:spacing w:before="0" w:after="0"/>
        <w:ind w:left="0" w:right="0" w:hanging="0"/>
        <w:jc w:val="left"/>
        <w:rPr>
          <w:caps w:val="false"/>
          <w:smallCaps w:val="false"/>
        </w:rPr>
      </w:pPr>
      <w:r>
        <w:rPr>
          <w:caps w:val="false"/>
          <w:smallCaps w:val="false"/>
        </w:rPr>
        <w:t> </w:t>
      </w:r>
    </w:p>
    <w:tbl>
      <w:tblPr>
        <w:tblW w:w="9723" w:type="dxa"/>
        <w:jc w:val="left"/>
        <w:tblInd w:w="0" w:type="dxa"/>
        <w:tblLayout w:type="fixed"/>
        <w:tblCellMar>
          <w:top w:w="0" w:type="dxa"/>
          <w:left w:w="0" w:type="dxa"/>
          <w:bottom w:w="0" w:type="dxa"/>
          <w:right w:w="0" w:type="dxa"/>
        </w:tblCellMar>
      </w:tblPr>
      <w:tblGrid>
        <w:gridCol w:w="38"/>
        <w:gridCol w:w="170"/>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the rights may include an over-subscription privilege with respect to unsubscribed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material terms of any standby underwriting or purchase arrangement entered into by us in connection with the offering of such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applicable securities purchased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with one or more underwriters or other purchasers, pursuant to which the underwriters or other purchasers may be required to purchase any securities remaining unsubscribed for after such offering, as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 of any rights that we may offer will not necessarily be complete and will be qualified in its entirety by reference to the applicable rights certificate, which will be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DESCRIPTION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evidence units by unit certificates that we issue under a separate unit agreement. We may issue the units under a unit agreement between us and one or more unit agents. If we elect to enter into a unit agreement with a unit agent, the unit agent will act solely as our agent in connection with the units and will not assume any obligation or relationship of agency or trust for or with any registered holders of units or beneficial owners of units. We will indicate the name and address and other information regarding the unit agent in the applicable prospectus supplement relating to a particular series of units if we elect to use a unit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being offered,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unit agreement under which the units will be issued and any provisions of the unit agreement that differ from those described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the issuance, payment, settlement, transfer or exchange of the units or of the securities comprising the units; and</w:t>
            </w:r>
          </w:p>
        </w:tc>
      </w:tr>
    </w:tbl>
    <w:p>
      <w:pPr>
        <w:pStyle w:val="TextBody"/>
        <w:bidi w:val="0"/>
        <w:spacing w:before="0" w:after="0"/>
        <w:ind w:left="0" w:right="0" w:hanging="0"/>
        <w:jc w:val="left"/>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17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units will be issued in fully registered or global form.</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provisions regarding our Class A Common Stock, preferred stock, debt securities, warrants and rights as described in this prospectus will apply to each unit to the extent such unit consists of shares of our Class A Common Stock, preferred stock, debt securities, warrants and/or rights.</w:t>
      </w:r>
    </w:p>
    <w:p>
      <w:pPr>
        <w:pStyle w:val="TextBody"/>
        <w:bidi w:val="0"/>
        <w:spacing w:before="0" w:after="0"/>
        <w:ind w:left="0" w:right="0" w:hanging="0"/>
        <w:jc w:val="left"/>
        <w:rPr>
          <w:caps w:val="false"/>
          <w:smallCaps w:val="false"/>
        </w:rPr>
      </w:pPr>
      <w:r>
        <w:rPr>
          <w:caps w:val="false"/>
          <w:smallCaps w:val="false"/>
        </w:rPr>
        <w:t> </w:t>
      </w: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being offered pursuant to this prospectus from time to time in one or more transactions, including, without limitation:</w:t>
      </w:r>
    </w:p>
    <w:p>
      <w:pPr>
        <w:pStyle w:val="TextBody"/>
        <w:bidi w:val="0"/>
        <w:spacing w:before="0" w:after="0"/>
        <w:ind w:left="0" w:right="0" w:hanging="0"/>
        <w:jc w:val="both"/>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38"/>
        <w:gridCol w:w="17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underwriters or dealers;</w:t>
            </w:r>
          </w:p>
        </w:tc>
      </w:tr>
    </w:tbl>
    <w:p>
      <w:pPr>
        <w:pStyle w:val="TextBody"/>
        <w:bidi w:val="0"/>
        <w:spacing w:before="0" w:after="0"/>
        <w:ind w:left="0" w:right="0" w:firstLine="720"/>
        <w:jc w:val="left"/>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17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agents;</w:t>
            </w:r>
          </w:p>
        </w:tc>
      </w:tr>
    </w:tbl>
    <w:p>
      <w:pPr>
        <w:pStyle w:val="TextBody"/>
        <w:bidi w:val="0"/>
        <w:spacing w:before="0" w:after="0"/>
        <w:ind w:left="0" w:right="0" w:firstLine="720"/>
        <w:jc w:val="left"/>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170"/>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directly by us to purchasers;</w:t>
            </w:r>
          </w:p>
        </w:tc>
      </w:tr>
    </w:tbl>
    <w:p>
      <w:pPr>
        <w:pStyle w:val="TextBody"/>
        <w:bidi w:val="0"/>
        <w:spacing w:before="0" w:after="0"/>
        <w:ind w:left="0" w:right="0" w:firstLine="720"/>
        <w:jc w:val="left"/>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17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 rights offering;</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“at the market” offerings within the meaning of Rule 415(a)(4) of the Securities Act to or through a market maker or into an existing trading market on an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 combination of any of these methods; or</w:t>
            </w:r>
          </w:p>
        </w:tc>
      </w:tr>
    </w:tbl>
    <w:p>
      <w:pPr>
        <w:pStyle w:val="TextBody"/>
        <w:bidi w:val="0"/>
        <w:spacing w:before="0" w:after="0"/>
        <w:ind w:left="0" w:right="0" w:hanging="0"/>
        <w:jc w:val="left"/>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17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any other method permitted by applicable law and described in a prospectus supplement.</w:t>
            </w:r>
          </w:p>
        </w:tc>
      </w:tr>
    </w:tbl>
    <w:p>
      <w:pPr>
        <w:pStyle w:val="TextBody"/>
        <w:bidi w:val="0"/>
        <w:spacing w:before="0" w:after="0"/>
        <w:ind w:left="0" w:right="0" w:hanging="0"/>
        <w:jc w:val="left"/>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17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applicable prospectus supplement will describe the terms of the offering of the securities, including: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or names of any underwriters, if any, and if required, any dealers or agents;</w:t>
            </w:r>
          </w:p>
        </w:tc>
      </w:tr>
    </w:tbl>
    <w:p>
      <w:pPr>
        <w:pStyle w:val="TextBody"/>
        <w:bidi w:val="0"/>
        <w:spacing w:before="0" w:after="0"/>
        <w:ind w:left="0" w:right="0" w:firstLine="720"/>
        <w:jc w:val="left"/>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17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price of the securities and the proceeds that we will receive from the sale;</w:t>
            </w:r>
          </w:p>
        </w:tc>
      </w:tr>
    </w:tbl>
    <w:p>
      <w:pPr>
        <w:pStyle w:val="TextBody"/>
        <w:bidi w:val="0"/>
        <w:spacing w:before="0" w:after="0"/>
        <w:ind w:left="0" w:right="0" w:firstLine="720"/>
        <w:jc w:val="left"/>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38"/>
        <w:gridCol w:w="17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underwriting discounts and other items constituting underwriters’ compensation;</w:t>
            </w:r>
          </w:p>
        </w:tc>
      </w:tr>
    </w:tbl>
    <w:p>
      <w:pPr>
        <w:pStyle w:val="TextBody"/>
        <w:bidi w:val="0"/>
        <w:spacing w:before="0" w:after="0"/>
        <w:ind w:left="0" w:right="0" w:firstLine="72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commissions paid to agents;</w:t>
            </w:r>
          </w:p>
        </w:tc>
      </w:tr>
    </w:tbl>
    <w:p>
      <w:pPr>
        <w:pStyle w:val="TextBody"/>
        <w:bidi w:val="0"/>
        <w:spacing w:before="0" w:after="0"/>
        <w:ind w:left="0" w:right="0" w:firstLine="720"/>
        <w:jc w:val="left"/>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discounts or concessions allowed or reallowed or paid to dealers;</w:t>
            </w:r>
          </w:p>
        </w:tc>
      </w:tr>
    </w:tbl>
    <w:p>
      <w:pPr>
        <w:pStyle w:val="TextBody"/>
        <w:bidi w:val="0"/>
        <w:spacing w:before="0" w:after="0"/>
        <w:ind w:left="0" w:right="0" w:firstLine="720"/>
        <w:jc w:val="left"/>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17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delayed delivery arrangements;</w:t>
            </w:r>
          </w:p>
        </w:tc>
      </w:tr>
    </w:tbl>
    <w:p>
      <w:pPr>
        <w:pStyle w:val="TextBody"/>
        <w:bidi w:val="0"/>
        <w:spacing w:before="0" w:after="0"/>
        <w:ind w:left="0" w:right="0" w:firstLine="720"/>
        <w:jc w:val="left"/>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38"/>
        <w:gridCol w:w="17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additional risk factors applicable to the securities that we propose to sell; and</w:t>
            </w:r>
          </w:p>
        </w:tc>
      </w:tr>
    </w:tbl>
    <w:p>
      <w:pPr>
        <w:pStyle w:val="TextBody"/>
        <w:bidi w:val="0"/>
        <w:spacing w:before="0" w:after="0"/>
        <w:ind w:left="0" w:right="0" w:firstLine="720"/>
        <w:jc w:val="left"/>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38"/>
        <w:gridCol w:w="17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securities exchange or market on which the securities may be listed.</w:t>
            </w:r>
          </w:p>
        </w:tc>
      </w:tr>
    </w:tbl>
    <w:p>
      <w:pPr>
        <w:pStyle w:val="TextBody"/>
        <w:bidi w:val="0"/>
        <w:spacing w:before="0" w:after="0"/>
        <w:ind w:left="0" w:right="0" w:firstLine="720"/>
        <w:jc w:val="left"/>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sell the securities from time to time in one or more transactions at:</w:t>
            </w:r>
          </w:p>
        </w:tc>
      </w:tr>
    </w:tbl>
    <w:p>
      <w:pPr>
        <w:pStyle w:val="TextBody"/>
        <w:bidi w:val="0"/>
        <w:spacing w:before="0" w:after="0"/>
        <w:ind w:left="0" w:right="0" w:firstLine="720"/>
        <w:jc w:val="left"/>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170"/>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fixed price or prices, which may be changed;</w:t>
            </w:r>
          </w:p>
        </w:tc>
      </w:tr>
    </w:tbl>
    <w:p>
      <w:pPr>
        <w:pStyle w:val="TextBody"/>
        <w:bidi w:val="0"/>
        <w:spacing w:before="0" w:after="0"/>
        <w:ind w:left="0" w:right="0" w:firstLine="1440"/>
        <w:jc w:val="left"/>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17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prices prevailing at the time of sale;</w:t>
            </w:r>
          </w:p>
        </w:tc>
      </w:tr>
    </w:tbl>
    <w:p>
      <w:pPr>
        <w:pStyle w:val="TextBody"/>
        <w:bidi w:val="0"/>
        <w:spacing w:before="0" w:after="0"/>
        <w:ind w:left="0" w:right="0" w:firstLine="1440"/>
        <w:jc w:val="left"/>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prices related to such prevailing market prices; or</w:t>
            </w:r>
          </w:p>
        </w:tc>
      </w:tr>
    </w:tbl>
    <w:p>
      <w:pPr>
        <w:pStyle w:val="TextBody"/>
        <w:bidi w:val="0"/>
        <w:spacing w:before="0" w:after="0"/>
        <w:ind w:left="0" w:right="0" w:firstLine="1440"/>
        <w:jc w:val="left"/>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negotiated prices.</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applicable prospectus supplement, the obligations of the underwriters to purchase the securities will be subject to certain conditions, and the underwriters will be obligated to purchase all of the offered securities if they purchase any of them. The underwriters may change from time to time any initial public offering price and any discounts or concessions allowed or reallowed or paid to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the name or names of any underwriters, dealers or agents and the purchase price of the securities in a prospectus supplement relating to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may receive compensation from us or from purchasers of the securities, for whom they may act as agents, in the form of discounts, concessions or commissions. Underwriters may sell the securities to or through dealers, and these dealers may receive compensation in the form of discounts, concessions or commissions from the underwriters and/or commissions from the purchasers for whom they may act as agents, which is not expected to exceed that customary in the types of transactions involved. Underwriters, dealers and agents that participate in the distribution of the securities may be deemed to be underwriters, and any discounts or commissions they receive from us and any profit on the resale of the securities they realize may be deemed to be underwriting discounts and commissions under the Securities Act. The prospectus supplement will identify any underwriter or agent and will describe any compensation they receive from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could make sales in privately negotiated transactions and/or any other method permitted by law, including sales deemed to be an “at-the-market” offering, sales made directly on The Nasdaq Capital Market, or such other exchange or automated quotation system on which our securities trade, or sales made to or through a market maker other than on an exchange. The name of any such underwriter or agent involved in the offer and sale of our securities, the amounts underwritten, and the nature of its obligations to take our securities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prospectus supplement, each series of the securities will be a new issue with no established trading market, other than our Class A Common Stock, which is currently traded on The Nasdaq Capital Market. We may elect to list any of the securities on an exchange but are not obligated to do so. It is possible that one or more underwriters may make a market in a series of the securities, but underwriters will not be obligated to do so and may discontinue any market making at any time without notice. Therefore, we can give no assurance about the liquidity of or the trading market for any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the guidelines of the Financial Industry Regulatory Authority, Inc. (“FINRA”), the maximum aggregate discounts, commissions, agency fees or other items constituting underwriting compensation to be received by any FINRA member or independent broker-dealer will not exceed 8% of the aggregate offering price of the securities offered pursuant to this prospectus and any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or our affiliates may engage in transactions with these underwriters, dealers and agents in the ordinary course of business. Underwriters have from time to time in the past provided, and may from time to time in the future provide, investment banking services to us for which they have in the past received, and may in the future receive, customary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In this case, no underwriters or agents would be involved. We may also sell the securities through agents designated by us from time to time. In the applicable prospectus supplement, we will name any agent involved in the offer, sale or resale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We will describe the terms of any sales of these securities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Remarketing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so indicate in the applicable prospectus supplement, we may authorize agents, underwriters or dealers to solicit offers from certain types of institutions to purchase securities from us at the public offering price under delayed delivery contracts. Institutions with which we may make these delayed delivery contracts include commercial and savings banks, insurance companies, pension funds, investment companies, educational and charitable institutions and others. These contracts would provide for payment and delivery on a specified date in the future. The contracts would be subject only to those conditions described in the applicable prospectus supplement. The obligations of any purchaser under any such delayed delivery contract will be subject to the condition that the purchase of the securities shall not at the time of delivery be prohibited under the laws of the jurisdiction to which the purchaser is subject. The underwriters and other agents will not have any responsibility with regard to the validity or performance of these delayed delivery contracts. The applicable prospectus supplement will describe the commission payable for solicitation of those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have agreements with the underwriters, dealers, agents and remarketing firms to indemnify them against certain civil liabilities, including liabilities under the Securities Act, or to contribute with respect to payments that the underwriters, dealers, agents or remarketing firms may be required to make. Underwriters, dealers, agents and remarketing firms may be customers of, engage in transactions with or perform services for us in the ordinary course of their businesses.</w:t>
      </w:r>
    </w:p>
    <w:p>
      <w:pPr>
        <w:pStyle w:val="TextBody"/>
        <w:bidi w:val="0"/>
        <w:spacing w:before="0" w:after="0"/>
        <w:ind w:left="0" w:right="0" w:hanging="0"/>
        <w:jc w:val="both"/>
        <w:rPr>
          <w:caps w:val="false"/>
          <w:smallCaps w:val="false"/>
        </w:rPr>
      </w:pPr>
      <w:r>
        <w:rPr>
          <w:caps w:val="false"/>
          <w:smallCaps w:val="false"/>
        </w:rPr>
        <w:t> </w:t>
      </w: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securities offered hereby will be passed upon for us by McCarter &amp; English, LLP. Additional legal matters may be passed upon for us or any underwriters, dealers or agents, by counsel that we will name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Elite Express Holding Inc. and its subsidiary as of November 30, 2025 and for the year then ended, incorporated in this prospectus by reference to our Annual Report on Form 10-K for the fiscal year ended November 30, 2025, have been so incorporated in reliance on the report of Audit Alliance LLP, an independent registered public accounting firm, given on the authority of that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Elite Express Holding Inc. as of November 30, 2024 (Successor Company), the financial statements of JAR Transportation Inc. as of November 30, 2023 (Predecessor Company), and the related statements for the periods described in the report of Golden Eagle CPAs LLC, incorporated in this prospectus by reference to our Annual Report on Form 10-K for the fiscal year ended November 30, 2025, have been so incorporated in reliance on the report of Golden Eagle CPAs LLC, an independent registered public accounting firm, given on the authority of that firm as experts in auditing and accounting.</w:t>
      </w:r>
    </w:p>
    <w:p>
      <w:pPr>
        <w:pStyle w:val="TextBody"/>
        <w:bidi w:val="0"/>
        <w:spacing w:before="0" w:after="0"/>
        <w:ind w:left="0" w:right="0" w:hanging="0"/>
        <w:jc w:val="both"/>
        <w:rPr>
          <w:caps w:val="false"/>
          <w:smallCaps w:val="false"/>
        </w:rPr>
      </w:pPr>
      <w:r>
        <w:rPr>
          <w:caps w:val="false"/>
          <w:smallCaps w:val="false"/>
        </w:rPr>
        <w:t> </w:t>
      </w: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6" w:name="a_015"/>
      <w:bookmarkEnd w:id="16"/>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constitutes a part of a registration statement on Form S-3 filed under the Securities Act. As permitted by the SEC’s rules, this prospectus and any prospectus supplement, which form a part of the registration statement, do not contain all the information that is included in the registration statement. You will find additional information about us in the registration statement and its exhibits. Any statements made in this prospectus or any prospectus supplement concerning legal documents are not necessarily complete and you should read the documents that are filed as exhibits to the registration statement or otherwise filed with the SEC for a more complete understanding of the document or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can read our SEC filings, including the registration statement,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Exchange Act, and we file reports, proxy statements and other information with the SEC. These reports, proxy statements and other information are available on the SEC’s website at www.sec.gov and through our investor relations website at https://www.eliteexpressholding.com. Information contained on, or accessible through, our website is not incorporated by reference into this prospectus and should not be considered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a_016"/>
      <w:bookmarkEnd w:id="17"/>
      <w:r>
        <w:rPr>
          <w:rFonts w:ascii="Times New Roman;Times;Serif" w:hAnsi="Times New Roman;Times;Serif"/>
          <w:b/>
          <w:i w:val="false"/>
          <w:caps/>
          <w:sz w:val="20"/>
        </w:rPr>
        <w:t>INCORPORATION OF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permits us to “incorporate by reference” into this prospectus the information contained in documents we file with the SEC, which means that we can disclose important information to you by referring you to those documents. Information that is incorporated by reference is considered to be part of this prospectus and you should read it with the same care that you read this prospectus. Information that we file later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 except as superseded, supplemented or modified by this prospectus, the documents listed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 xml:space="preserve">our </w:t>
            </w:r>
            <w:hyperlink r:id="rId3">
              <w:r>
                <w:rPr>
                  <w:rStyle w:val="InternetLink"/>
                  <w:rFonts w:ascii="Times New Roman;Times;Serif" w:hAnsi="Times New Roman;Times;Serif"/>
                  <w:sz w:val="20"/>
                </w:rPr>
                <w:t>Annual Report on Form 10-K for the fiscal year ended November 30, 2025</w:t>
              </w:r>
            </w:hyperlink>
            <w:r>
              <w:rPr>
                <w:rFonts w:ascii="Times New Roman;Times;Serif" w:hAnsi="Times New Roman;Times;Serif"/>
                <w:sz w:val="20"/>
              </w:rPr>
              <w:t xml:space="preserve">, filed with the SEC on February 27, 2026, as amended by </w:t>
            </w:r>
            <w:hyperlink r:id="rId4">
              <w:r>
                <w:rPr>
                  <w:rStyle w:val="InternetLink"/>
                  <w:rFonts w:ascii="Times New Roman;Times;Serif" w:hAnsi="Times New Roman;Times;Serif"/>
                  <w:sz w:val="20"/>
                </w:rPr>
                <w:t>Amendment No. 1 on Form 10-K/A</w:t>
              </w:r>
            </w:hyperlink>
            <w:r>
              <w:rPr>
                <w:rFonts w:ascii="Times New Roman;Times;Serif" w:hAnsi="Times New Roman;Times;Serif"/>
                <w:sz w:val="20"/>
              </w:rPr>
              <w:t xml:space="preserve"> filed with the SEC on March 18,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 xml:space="preserve">our Quarterly Reports on Form 10-Q for the fiscal quarters ended </w:t>
            </w:r>
            <w:hyperlink r:id="rId5">
              <w:r>
                <w:rPr>
                  <w:rStyle w:val="InternetLink"/>
                  <w:rFonts w:ascii="Times New Roman;Times;Serif" w:hAnsi="Times New Roman;Times;Serif"/>
                  <w:sz w:val="20"/>
                </w:rPr>
                <w:t>February 28, 2026</w:t>
              </w:r>
            </w:hyperlink>
            <w:r>
              <w:rPr>
                <w:rFonts w:ascii="Times New Roman;Times;Serif" w:hAnsi="Times New Roman;Times;Serif"/>
                <w:sz w:val="20"/>
              </w:rPr>
              <w:t xml:space="preserve"> and </w:t>
            </w:r>
            <w:hyperlink r:id="rId6">
              <w:r>
                <w:rPr>
                  <w:rStyle w:val="InternetLink"/>
                  <w:rFonts w:ascii="Times New Roman;Times;Serif" w:hAnsi="Times New Roman;Times;Serif"/>
                  <w:sz w:val="20"/>
                </w:rPr>
                <w:t>May 31, 2026</w:t>
              </w:r>
            </w:hyperlink>
            <w:r>
              <w:rPr>
                <w:rFonts w:ascii="Times New Roman;Times;Serif" w:hAnsi="Times New Roman;Times;Serif"/>
                <w:sz w:val="20"/>
              </w:rPr>
              <w:t>, filed with the SEC on April 13, 2026 and July 14, 2026,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 xml:space="preserve">our Current Reports on Form 8-K filed with the SEC on </w:t>
            </w:r>
            <w:hyperlink r:id="rId7">
              <w:r>
                <w:rPr>
                  <w:rStyle w:val="InternetLink"/>
                  <w:rFonts w:ascii="Times New Roman;Times;Serif" w:hAnsi="Times New Roman;Times;Serif"/>
                  <w:sz w:val="20"/>
                </w:rPr>
                <w:t>December 5, 2025</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December 16, 2025</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March 11, 2026</w:t>
              </w:r>
            </w:hyperlink>
            <w:r>
              <w:rPr>
                <w:rFonts w:ascii="Times New Roman;Times;Serif" w:hAnsi="Times New Roman;Times;Serif"/>
                <w:sz w:val="20"/>
              </w:rPr>
              <w:t xml:space="preserve">, </w:t>
            </w:r>
            <w:hyperlink r:id="rId10">
              <w:r>
                <w:rPr>
                  <w:rStyle w:val="InternetLink"/>
                  <w:rFonts w:ascii="Times New Roman;Times;Serif" w:hAnsi="Times New Roman;Times;Serif"/>
                  <w:sz w:val="20"/>
                </w:rPr>
                <w:t>April 30, 2026</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June 8, 2026</w:t>
              </w:r>
            </w:hyperlink>
            <w:r>
              <w:rPr>
                <w:rFonts w:ascii="Times New Roman;Times;Serif" w:hAnsi="Times New Roman;Times;Serif"/>
                <w:sz w:val="20"/>
              </w:rPr>
              <w:t xml:space="preserve"> and </w:t>
            </w:r>
            <w:hyperlink r:id="rId12">
              <w:r>
                <w:rPr>
                  <w:rStyle w:val="InternetLink"/>
                  <w:rFonts w:ascii="Times New Roman;Times;Serif" w:hAnsi="Times New Roman;Times;Serif"/>
                  <w:sz w:val="20"/>
                </w:rPr>
                <w:t>August 7, 2026</w:t>
              </w:r>
            </w:hyperlink>
            <w:r>
              <w:rPr>
                <w:rFonts w:ascii="Times New Roman;Times;Serif" w:hAnsi="Times New Roman;Times;Serif"/>
                <w:sz w:val="20"/>
              </w:rPr>
              <w:t>, in each case excluding any information furnished rather than filed, and any amendments to those reports;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Class A Common Stock contained in our registration statement on </w:t>
            </w:r>
            <w:hyperlink r:id="rId13">
              <w:r>
                <w:rPr>
                  <w:rStyle w:val="InternetLink"/>
                  <w:rFonts w:ascii="Times New Roman;Times;Serif" w:hAnsi="Times New Roman;Times;Serif"/>
                  <w:sz w:val="20"/>
                </w:rPr>
                <w:t>Form 8-A</w:t>
              </w:r>
            </w:hyperlink>
            <w:r>
              <w:rPr>
                <w:rFonts w:ascii="Times New Roman;Times;Serif" w:hAnsi="Times New Roman;Times;Serif"/>
                <w:sz w:val="20"/>
              </w:rPr>
              <w:t xml:space="preserve"> filed with the SEC on August 20, 2025 under Section 12(b) of the Exchange Act, including any amendment or report filed for the purpose of updating that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additional documents that we may file with the SEC under Sections 13(a), 13(c), 14 or 15(d) of the Exchange Act after the date hereof but before the completion or termination of this offering (excluding any information not deemed “filed” with the SEC). Any statement contained in a previously filed document is deemed to be modified or superseded for purposes of this prospectus to the extent that a statement contained in this prospectus or in a subsequently filed document incorporated by reference herein modifies or supersedes the statement, and any statement contained in this prospectus is deemed to be modified or superseded for purposes of this prospectus to the extent that a statement contained in a subsequently filed document incorporated by reference herein modifies or supersedes the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to whom a copy of this prospectus is delivered, including any beneficial owner, upon the written or oral request of such person, a copy of any or all of the documents incorporated by reference herein, including exhibits. Requests should be directed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Elite Express Holding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23046 Avenida De La Carlota, Suite 600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Laguna Hills, CA 92653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758-0650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these filings are also available on our investor relations website at https://www.eliteexpressholding.com. For other ways to obtain a copy of these filings, please refer to “Where You Can Find More Information”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an estimate of the fees and expenses relating to the issuance and distribution of the securities being registered hereby, other than underwriting discounts and commissions, all of which shall be borne by the registrant. All of such fees and expenses, except for the SEC registration fee, are estimated:</w:t>
      </w:r>
    </w:p>
    <w:p>
      <w:pPr>
        <w:pStyle w:val="TextBody"/>
        <w:bidi w:val="0"/>
        <w:spacing w:before="0" w:after="0"/>
        <w:ind w:left="0" w:right="0" w:hanging="0"/>
        <w:jc w:val="both"/>
        <w:rPr>
          <w:caps w:val="false"/>
          <w:smallCaps w:val="false"/>
        </w:rPr>
      </w:pPr>
      <w:r>
        <w:rPr>
          <w:caps w:val="false"/>
          <w:smallCaps w:val="false"/>
        </w:rPr>
        <w:t> </w:t>
      </w:r>
    </w:p>
    <w:tbl>
      <w:tblPr>
        <w:tblW w:w="4950" w:type="dxa"/>
        <w:jc w:val="left"/>
        <w:tblInd w:w="0" w:type="dxa"/>
        <w:tblLayout w:type="fixed"/>
        <w:tblCellMar>
          <w:top w:w="0" w:type="dxa"/>
          <w:left w:w="0" w:type="dxa"/>
          <w:bottom w:w="0" w:type="dxa"/>
          <w:right w:w="0" w:type="dxa"/>
        </w:tblCellMar>
      </w:tblPr>
      <w:tblGrid>
        <w:gridCol w:w="3845"/>
        <w:gridCol w:w="60"/>
        <w:gridCol w:w="125"/>
        <w:gridCol w:w="845"/>
        <w:gridCol w:w="75"/>
      </w:tblGrid>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41,430.00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FINRA filing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Agent and Registrar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Printing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fees and expenses depend on the securities offered and the number of issuances and, accordingly, cannot be estimated at this time. An estimate of the aggregate expenses in connection with the sale and distribution of the securities being offered will be included in the applicable prospectus supplement.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entity, against expenses, including attorneys’ fees, judgments, fines and amounts paid in settlement actually and reasonably incurred by the person in connection with the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also provides that a corporation may indemnify such a person in an action by or in the right of the corporation against expenses, including attorneys’ fees, actually and reasonably incurred by the person in connection with the defense or settlement of the action if the person acted in good faith and in a manner the person reasonably believed to be in or not opposed to the best interests of the corporation, except that no indemnification may be made with respect to any claim, issue or matter as to which the person has been adjudged liable to the corporation unless and only to the extent that the Delaware Court of Chancery or the court in which the action was brought determines that the person is fairly and reasonably entitled to indemnity for such expenses as the court deems proper.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 present or former director or officer has been successful on the merits or otherwise in defense of any proceeding referred to above, or in defense of any claim, issue or matter therein, Section 145 requires the corporation to indemnify that person against expenses, including attorneys’ fees, actually and reasonably incurred in connection therewith. Section 145 also permits a corporation to purchase and maintain insurance on behalf of its directors, officers, employees and agents against liability asserted against or incurred by such persons in such capacity, whether or not the corporation would have the power to indemnify them against such liability under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to the fullest extent permitted by the DGCL, no director will be personally liable to us or our stockholders for monetary damages for breach of fiduciary duty as a director. Our Bylaws provide for indemnification of our directors and officers to the fullest extent permitted by applicable law and for advancement of expenses, subject to the conditions set forth therein. Our Bylaws also permit us to maintain insurance to protect us and any director, officer, employee or agent against expense, liability or loss. We purchased directors’ and officers’ liability insurance on August 21, 2025 and renewed on August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 of exhibits in the Exhibit Index to this registration statement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245"/>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75"/>
        <w:gridCol w:w="200"/>
        <w:gridCol w:w="79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 of 1933, as amended;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the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Filing Fee” table in the effective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this registration statement or any material change to such information in this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the undertakings set forth in paragraphs (1)(i), (1)(ii) and (1)(iii)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as amended, that are incorporated by reference in this registration statement or is contained in a form of prospectus filed pursuant to Rule 424(b) that is part of this registration statement;</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75"/>
        <w:gridCol w:w="245"/>
        <w:gridCol w:w="88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of 1933, as amended,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filed by the registrant pursuant to Rule 424 (b)(3) shall be deemed to be part of this registration statement as of the date the filed prospectus was deemed part of and included in this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required to be filed pursuant to Rule 424 (b)(2),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200"/>
        <w:gridCol w:w="40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offering required to be filed pursuant to Rule 424;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305"/>
        <w:gridCol w:w="885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i/>
                <w:sz w:val="20"/>
              </w:rPr>
              <w:t>bona fide</w:t>
            </w:r>
            <w:r>
              <w:rPr>
                <w:rFonts w:ascii="Times New Roman;Times;Serif" w:hAnsi="Times New Roman;Times;Serif"/>
                <w:sz w:val="20"/>
              </w:rPr>
              <w:t xml:space="preserv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b_001"/>
      <w:bookmarkEnd w:id="18"/>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S-3 and has duly caused this Form S-3 to be signed on its behalf by the undersigned, thereunto duly authorized, in the City of Laguna Hills, State of California, on August 28, 2026.</w:t>
      </w:r>
    </w:p>
    <w:p>
      <w:pPr>
        <w:pStyle w:val="TextBody"/>
        <w:bidi w:val="0"/>
        <w:spacing w:before="0" w:after="0"/>
        <w:ind w:left="0" w:right="0" w:hanging="0"/>
        <w:jc w:val="both"/>
        <w:rPr>
          <w:caps w:val="false"/>
          <w:smallCaps w:val="false"/>
        </w:rPr>
      </w:pPr>
      <w:r>
        <w:rPr>
          <w:caps w:val="false"/>
          <w:smallCaps w:val="false"/>
        </w:rPr>
        <w:t> </w:t>
      </w:r>
    </w:p>
    <w:tbl>
      <w:tblPr>
        <w:tblW w:w="3049" w:type="dxa"/>
        <w:jc w:val="left"/>
        <w:tblInd w:w="0" w:type="dxa"/>
        <w:tblLayout w:type="fixed"/>
        <w:tblCellMar>
          <w:top w:w="0" w:type="dxa"/>
          <w:left w:w="0" w:type="dxa"/>
          <w:bottom w:w="0" w:type="dxa"/>
          <w:right w:w="0" w:type="dxa"/>
        </w:tblCellMar>
      </w:tblPr>
      <w:tblGrid>
        <w:gridCol w:w="75"/>
        <w:gridCol w:w="418"/>
        <w:gridCol w:w="2556"/>
      </w:tblGrid>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ELITE EXPRESS HOLDING INC.</w:t>
            </w:r>
          </w:p>
        </w:tc>
      </w:tr>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5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Yidan Chen</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25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Yidan Chen</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25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poa"/>
      <w:bookmarkEnd w:id="19"/>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Yidan Chen and Ye Hua, and each of them, as his or her true and lawful attorney-in-fact and agent, with full power of substitution and resubstitution, for him or her and in his or her name, place and stead, in any and all capacities, to sign any or all amendments, including post-effective amendments, to this registration statement, any related registration statement filed pursuant to Rule 462(b) under the Securities Act and any pre- or post-effective amendments thereto, and to file the same, with all exhibits thereto and all other documents in connection therewith, with the SEC, granting unto each attorney-in-fact and agent full power and authority to do and perform each act and thing requisite and necessary to be done in and about the premises, as fully as he or she might or could do in person, and hereby ratifying and confirming all that each attorney-in-fact and agent, or any substitute, may lawfully do or cause to be done by virtue hereof. Pursuant to the requirements of the Securities Act, the following persons in the capacities and on the dates indicated have signed this registration statement below.</w:t>
      </w:r>
    </w:p>
    <w:p>
      <w:pPr>
        <w:pStyle w:val="TextBody"/>
        <w:bidi w:val="0"/>
        <w:spacing w:before="0" w:after="0"/>
        <w:ind w:left="0" w:right="0" w:hanging="0"/>
        <w:jc w:val="both"/>
        <w:rPr>
          <w:caps w:val="false"/>
          <w:smallCaps w:val="false"/>
        </w:rPr>
      </w:pPr>
      <w:r>
        <w:rPr>
          <w:caps w:val="false"/>
          <w:smallCaps w:val="false"/>
        </w:rPr>
        <w:t> </w:t>
      </w:r>
    </w:p>
    <w:tbl>
      <w:tblPr>
        <w:tblW w:w="8055" w:type="dxa"/>
        <w:jc w:val="left"/>
        <w:tblInd w:w="0" w:type="dxa"/>
        <w:tblLayout w:type="fixed"/>
        <w:tblCellMar>
          <w:top w:w="0" w:type="dxa"/>
          <w:left w:w="0" w:type="dxa"/>
          <w:bottom w:w="0" w:type="dxa"/>
          <w:right w:w="0" w:type="dxa"/>
        </w:tblCellMar>
      </w:tblPr>
      <w:tblGrid>
        <w:gridCol w:w="1535"/>
        <w:gridCol w:w="60"/>
        <w:gridCol w:w="5015"/>
        <w:gridCol w:w="60"/>
        <w:gridCol w:w="1385"/>
      </w:tblGrid>
      <w:tr>
        <w:trPr/>
        <w:tc>
          <w:tcPr>
            <w:tcW w:w="1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vAlign w:val="center"/>
          </w:tcPr>
          <w:p>
            <w:pPr>
              <w:pStyle w:val="TableContents"/>
              <w:bidi w:val="0"/>
              <w:spacing w:before="0" w:after="283"/>
              <w:jc w:val="center"/>
              <w:rPr/>
            </w:pPr>
            <w:r>
              <w:rPr/>
              <w:t> </w:t>
            </w:r>
          </w:p>
        </w:tc>
        <w:tc>
          <w:tcPr>
            <w:tcW w:w="50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vAlign w:val="center"/>
          </w:tcPr>
          <w:p>
            <w:pPr>
              <w:pStyle w:val="TableContents"/>
              <w:bidi w:val="0"/>
              <w:spacing w:before="0" w:after="283"/>
              <w:jc w:val="center"/>
              <w:rPr/>
            </w:pPr>
            <w:r>
              <w:rPr/>
              <w:t> </w:t>
            </w:r>
          </w:p>
        </w:tc>
        <w:tc>
          <w:tcPr>
            <w:tcW w:w="13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/s/ Yidan Chen</w:t>
            </w:r>
            <w:r>
              <w:rPr>
                <w:rFonts w:ascii="Times New Roman;Times;Serif" w:hAnsi="Times New Roman;Times;Serif"/>
                <w:sz w:val="20"/>
              </w:rPr>
              <w:br/>
              <w:t>Yidan Chen</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President and Director</w:t>
              <w:br/>
              <w:t>(Principal Executive Officer)</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28, 2026</w:t>
            </w:r>
          </w:p>
        </w:tc>
      </w:tr>
      <w:tr>
        <w:trPr/>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/s/ Ye Hua</w:t>
            </w:r>
            <w:r>
              <w:rPr>
                <w:rFonts w:ascii="Times New Roman;Times;Serif" w:hAnsi="Times New Roman;Times;Serif"/>
                <w:sz w:val="20"/>
              </w:rPr>
              <w:br/>
              <w:t>Ye Hua</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br/>
              <w:t>(Principal Financial Officer and Principal Accounting Officer)</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28, 2026</w:t>
            </w:r>
          </w:p>
        </w:tc>
      </w:tr>
      <w:tr>
        <w:trPr/>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/s/ Huan Liu</w:t>
            </w:r>
            <w:r>
              <w:rPr>
                <w:rFonts w:ascii="Times New Roman;Times;Serif" w:hAnsi="Times New Roman;Times;Serif"/>
                <w:sz w:val="20"/>
              </w:rPr>
              <w:br/>
              <w:t>Huan Liu</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of Directors</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28, 2026</w:t>
            </w:r>
          </w:p>
        </w:tc>
      </w:tr>
      <w:tr>
        <w:trPr/>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/s/ Huanhuan Tian</w:t>
            </w:r>
            <w:r>
              <w:rPr>
                <w:rFonts w:ascii="Times New Roman;Times;Serif" w:hAnsi="Times New Roman;Times;Serif"/>
                <w:sz w:val="20"/>
              </w:rPr>
              <w:br/>
              <w:t>Huanhuan Tian</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28, 2026</w:t>
            </w:r>
          </w:p>
        </w:tc>
      </w:tr>
      <w:tr>
        <w:trPr/>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/s/ Huaqin He</w:t>
            </w:r>
            <w:r>
              <w:rPr>
                <w:rFonts w:ascii="Times New Roman;Times;Serif" w:hAnsi="Times New Roman;Times;Serif"/>
                <w:sz w:val="20"/>
              </w:rPr>
              <w:br/>
              <w:t>Huaqin He</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28, 2026</w:t>
            </w:r>
          </w:p>
        </w:tc>
      </w:tr>
      <w:tr>
        <w:trPr/>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/s/ Jianing Lu</w:t>
            </w:r>
            <w:r>
              <w:rPr>
                <w:rFonts w:ascii="Times New Roman;Times;Serif" w:hAnsi="Times New Roman;Times;Serif"/>
                <w:sz w:val="20"/>
              </w:rPr>
              <w:br/>
              <w:t>Jianing Lu</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28,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1"/>
        <w:gridCol w:w="60"/>
        <w:gridCol w:w="9194"/>
      </w:tblGrid>
      <w:tr>
        <w:trPr/>
        <w:tc>
          <w:tcPr>
            <w:tcW w:w="951" w:type="dxa"/>
            <w:tcBorders>
              <w:bottom w:val="single" w:sz="12" w:space="0" w:color="000000"/>
            </w:tcBorders>
            <w:vAlign w:val="center"/>
          </w:tcPr>
          <w:p>
            <w:pPr>
              <w:pStyle w:val="TableContents"/>
              <w:bidi w:val="0"/>
              <w:spacing w:before="0" w:after="283"/>
              <w:jc w:val="both"/>
              <w:rPr>
                <w:b/>
              </w:rPr>
            </w:pPr>
            <w:r>
              <w:rPr>
                <w:b/>
              </w:rPr>
              <w:t>Exhibit No.</w:t>
            </w:r>
          </w:p>
        </w:tc>
        <w:tc>
          <w:tcPr>
            <w:tcW w:w="60" w:type="dxa"/>
            <w:tcBorders/>
            <w:tcMar>
              <w:bottom w:w="0" w:type="dxa"/>
            </w:tcMar>
            <w:vAlign w:val="center"/>
          </w:tcPr>
          <w:p>
            <w:pPr>
              <w:pStyle w:val="TableContents"/>
              <w:bidi w:val="0"/>
              <w:spacing w:before="0" w:after="283"/>
              <w:jc w:val="both"/>
              <w:rPr/>
            </w:pPr>
            <w:r>
              <w:rPr/>
              <w:t> </w:t>
            </w:r>
          </w:p>
        </w:tc>
        <w:tc>
          <w:tcPr>
            <w:tcW w:w="9194" w:type="dxa"/>
            <w:tcBorders>
              <w:bottom w:val="single" w:sz="12" w:space="0" w:color="000000"/>
            </w:tcBorders>
            <w:vAlign w:val="center"/>
          </w:tcPr>
          <w:p>
            <w:pPr>
              <w:pStyle w:val="TableContents"/>
              <w:bidi w:val="0"/>
              <w:spacing w:before="0" w:after="283"/>
              <w:jc w:val="center"/>
              <w:rPr/>
            </w:pPr>
            <w:r>
              <w:rPr>
                <w:b/>
              </w:rPr>
              <w:t>Description of Exhibit</w:t>
            </w:r>
            <w:r>
              <w:rPr/>
              <w:t> </w:t>
            </w:r>
          </w:p>
        </w:tc>
      </w:tr>
      <w:tr>
        <w:trPr/>
        <w:tc>
          <w:tcPr>
            <w:tcW w:w="951"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194" w:type="dxa"/>
            <w:tcBorders/>
            <w:tcMar>
              <w:bottom w:w="0" w:type="dxa"/>
            </w:tcMar>
            <w:vAlign w:val="center"/>
          </w:tcPr>
          <w:p>
            <w:pPr>
              <w:pStyle w:val="TableContents"/>
              <w:bidi w:val="0"/>
              <w:spacing w:before="0" w:after="283"/>
              <w:jc w:val="both"/>
              <w:rPr/>
            </w:pPr>
            <w:r>
              <w:rPr/>
              <w:t> </w:t>
            </w:r>
          </w:p>
        </w:tc>
      </w:tr>
      <w:tr>
        <w:trPr/>
        <w:tc>
          <w:tcPr>
            <w:tcW w:w="951" w:type="dxa"/>
            <w:tcBorders/>
            <w:shd w:fill="CCEEFF" w:val="clear"/>
            <w:tcMar>
              <w:bottom w:w="0" w:type="dxa"/>
            </w:tcMar>
            <w:vAlign w:val="center"/>
          </w:tcPr>
          <w:p>
            <w:pPr>
              <w:pStyle w:val="TableContents"/>
              <w:bidi w:val="0"/>
              <w:spacing w:before="0" w:after="283"/>
              <w:jc w:val="both"/>
              <w:rPr/>
            </w:pPr>
            <w:r>
              <w:rPr/>
              <w:t>1.1*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94" w:type="dxa"/>
            <w:tcBorders/>
            <w:shd w:fill="CCEEFF" w:val="clear"/>
            <w:tcMar>
              <w:bottom w:w="0" w:type="dxa"/>
            </w:tcMar>
            <w:vAlign w:val="center"/>
          </w:tcPr>
          <w:p>
            <w:pPr>
              <w:pStyle w:val="TableContents"/>
              <w:bidi w:val="0"/>
              <w:spacing w:before="0" w:after="283"/>
              <w:jc w:val="both"/>
              <w:rPr/>
            </w:pPr>
            <w:r>
              <w:rPr/>
              <w:t>Form of Underwriting Agreement.</w:t>
            </w:r>
          </w:p>
        </w:tc>
      </w:tr>
      <w:tr>
        <w:trPr/>
        <w:tc>
          <w:tcPr>
            <w:tcW w:w="9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94" w:type="dxa"/>
            <w:tcBorders/>
            <w:shd w:fill="FFFFFF" w:val="clear"/>
            <w:tcMar>
              <w:bottom w:w="0" w:type="dxa"/>
            </w:tcMar>
            <w:vAlign w:val="center"/>
          </w:tcPr>
          <w:p>
            <w:pPr>
              <w:pStyle w:val="TableContents"/>
              <w:bidi w:val="0"/>
              <w:spacing w:before="0" w:after="283"/>
              <w:jc w:val="both"/>
              <w:rPr/>
            </w:pPr>
            <w:r>
              <w:rPr/>
              <w:t> </w:t>
            </w:r>
          </w:p>
        </w:tc>
      </w:tr>
      <w:tr>
        <w:trPr/>
        <w:tc>
          <w:tcPr>
            <w:tcW w:w="951" w:type="dxa"/>
            <w:tcBorders/>
            <w:shd w:fill="CCEEFF" w:val="clear"/>
            <w:tcMar>
              <w:bottom w:w="0" w:type="dxa"/>
            </w:tcMar>
            <w:vAlign w:val="center"/>
          </w:tcPr>
          <w:p>
            <w:pPr>
              <w:pStyle w:val="TableContents"/>
              <w:bidi w:val="0"/>
              <w:spacing w:before="0" w:after="283"/>
              <w:jc w:val="both"/>
              <w:rPr/>
            </w:pPr>
            <w:r>
              <w:rPr/>
              <w:t>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94" w:type="dxa"/>
            <w:tcBorders/>
            <w:shd w:fill="CCEEFF" w:val="clear"/>
            <w:tcMar>
              <w:bottom w:w="0" w:type="dxa"/>
            </w:tcMar>
            <w:vAlign w:val="center"/>
          </w:tcPr>
          <w:p>
            <w:pPr>
              <w:pStyle w:val="TableContents"/>
              <w:bidi w:val="0"/>
              <w:spacing w:before="0" w:after="283"/>
              <w:jc w:val="both"/>
              <w:rPr/>
            </w:pPr>
            <w:hyperlink r:id="rId14">
              <w:r>
                <w:rPr>
                  <w:rStyle w:val="InternetLink"/>
                </w:rPr>
                <w:t>Amended and Restated Certificate of Incorporation of Elite Express Holding Inc. (incorporated by reference to Exhibit 3.1 to the registration statement on Form S-1 (File No. 333-286965) filed with the SEC on May 5, 2025).</w:t>
              </w:r>
            </w:hyperlink>
          </w:p>
        </w:tc>
      </w:tr>
      <w:tr>
        <w:trPr/>
        <w:tc>
          <w:tcPr>
            <w:tcW w:w="9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94" w:type="dxa"/>
            <w:tcBorders/>
            <w:shd w:fill="FFFFFF" w:val="clear"/>
            <w:tcMar>
              <w:bottom w:w="0" w:type="dxa"/>
            </w:tcMar>
            <w:vAlign w:val="center"/>
          </w:tcPr>
          <w:p>
            <w:pPr>
              <w:pStyle w:val="TableContents"/>
              <w:bidi w:val="0"/>
              <w:spacing w:before="0" w:after="283"/>
              <w:jc w:val="both"/>
              <w:rPr/>
            </w:pPr>
            <w:r>
              <w:rPr/>
              <w:t> </w:t>
            </w:r>
          </w:p>
        </w:tc>
      </w:tr>
      <w:tr>
        <w:trPr/>
        <w:tc>
          <w:tcPr>
            <w:tcW w:w="951" w:type="dxa"/>
            <w:tcBorders/>
            <w:shd w:fill="CCEEFF" w:val="clear"/>
            <w:tcMar>
              <w:bottom w:w="0" w:type="dxa"/>
            </w:tcMar>
            <w:vAlign w:val="center"/>
          </w:tcPr>
          <w:p>
            <w:pPr>
              <w:pStyle w:val="TableContents"/>
              <w:bidi w:val="0"/>
              <w:spacing w:before="0" w:after="283"/>
              <w:jc w:val="both"/>
              <w:rPr/>
            </w:pPr>
            <w:r>
              <w:rPr/>
              <w:t>3.2**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94" w:type="dxa"/>
            <w:tcBorders/>
            <w:shd w:fill="CCEEFF" w:val="clear"/>
            <w:tcMar>
              <w:bottom w:w="0" w:type="dxa"/>
            </w:tcMar>
            <w:vAlign w:val="center"/>
          </w:tcPr>
          <w:p>
            <w:pPr>
              <w:pStyle w:val="TableContents"/>
              <w:bidi w:val="0"/>
              <w:spacing w:before="0" w:after="283"/>
              <w:jc w:val="both"/>
              <w:rPr/>
            </w:pPr>
            <w:hyperlink r:id="rId15">
              <w:r>
                <w:rPr>
                  <w:rStyle w:val="InternetLink"/>
                </w:rPr>
                <w:t>Amended and Restated Bylaws of Elite Express Holding Inc. (incorporated by reference to Exhibit 3.2 to the registration statement on Form S-1 (File No. 333-286965) filed with the SEC on May 5, 2025).</w:t>
              </w:r>
            </w:hyperlink>
          </w:p>
        </w:tc>
      </w:tr>
      <w:tr>
        <w:trPr/>
        <w:tc>
          <w:tcPr>
            <w:tcW w:w="9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94" w:type="dxa"/>
            <w:tcBorders/>
            <w:shd w:fill="FFFFFF" w:val="clear"/>
            <w:tcMar>
              <w:bottom w:w="0" w:type="dxa"/>
            </w:tcMar>
            <w:vAlign w:val="center"/>
          </w:tcPr>
          <w:p>
            <w:pPr>
              <w:pStyle w:val="TableContents"/>
              <w:bidi w:val="0"/>
              <w:spacing w:before="0" w:after="283"/>
              <w:jc w:val="both"/>
              <w:rPr/>
            </w:pPr>
            <w:r>
              <w:rPr/>
              <w:t> </w:t>
            </w:r>
          </w:p>
        </w:tc>
      </w:tr>
      <w:tr>
        <w:trPr/>
        <w:tc>
          <w:tcPr>
            <w:tcW w:w="951" w:type="dxa"/>
            <w:tcBorders/>
            <w:shd w:fill="CCEEFF" w:val="clear"/>
            <w:tcMar>
              <w:bottom w:w="0" w:type="dxa"/>
            </w:tcMar>
            <w:vAlign w:val="center"/>
          </w:tcPr>
          <w:p>
            <w:pPr>
              <w:pStyle w:val="TableContents"/>
              <w:bidi w:val="0"/>
              <w:spacing w:before="0" w:after="283"/>
              <w:jc w:val="both"/>
              <w:rPr/>
            </w:pPr>
            <w:r>
              <w:rPr/>
              <w:t>4.1**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94" w:type="dxa"/>
            <w:tcBorders/>
            <w:shd w:fill="CCEEFF" w:val="clear"/>
            <w:tcMar>
              <w:bottom w:w="0" w:type="dxa"/>
            </w:tcMar>
            <w:vAlign w:val="center"/>
          </w:tcPr>
          <w:p>
            <w:pPr>
              <w:pStyle w:val="TableContents"/>
              <w:bidi w:val="0"/>
              <w:spacing w:before="0" w:after="283"/>
              <w:jc w:val="both"/>
              <w:rPr/>
            </w:pPr>
            <w:hyperlink r:id="rId16">
              <w:r>
                <w:rPr>
                  <w:rStyle w:val="InternetLink"/>
                </w:rPr>
                <w:t>Specimen Certificate for Class A Common Stock (incorporated by reference to Exhibit 4.1 to the registration statement on Form S-1 (File No. 333-286965), as amended).</w:t>
              </w:r>
            </w:hyperlink>
          </w:p>
        </w:tc>
      </w:tr>
      <w:tr>
        <w:trPr/>
        <w:tc>
          <w:tcPr>
            <w:tcW w:w="9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94" w:type="dxa"/>
            <w:tcBorders/>
            <w:shd w:fill="FFFFFF" w:val="clear"/>
            <w:tcMar>
              <w:bottom w:w="0" w:type="dxa"/>
            </w:tcMar>
            <w:vAlign w:val="center"/>
          </w:tcPr>
          <w:p>
            <w:pPr>
              <w:pStyle w:val="TableContents"/>
              <w:bidi w:val="0"/>
              <w:spacing w:before="0" w:after="283"/>
              <w:jc w:val="both"/>
              <w:rPr/>
            </w:pPr>
            <w:r>
              <w:rPr/>
              <w:t> </w:t>
            </w:r>
          </w:p>
        </w:tc>
      </w:tr>
      <w:tr>
        <w:trPr/>
        <w:tc>
          <w:tcPr>
            <w:tcW w:w="951" w:type="dxa"/>
            <w:tcBorders/>
            <w:shd w:fill="CCEEFF" w:val="clear"/>
            <w:tcMar>
              <w:bottom w:w="0" w:type="dxa"/>
            </w:tcMar>
            <w:vAlign w:val="center"/>
          </w:tcPr>
          <w:p>
            <w:pPr>
              <w:pStyle w:val="TableContents"/>
              <w:bidi w:val="0"/>
              <w:spacing w:before="0" w:after="283"/>
              <w:jc w:val="both"/>
              <w:rPr/>
            </w:pPr>
            <w:r>
              <w:rPr/>
              <w:t>4.2*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94" w:type="dxa"/>
            <w:tcBorders/>
            <w:shd w:fill="CCEEFF" w:val="clear"/>
            <w:tcMar>
              <w:bottom w:w="0" w:type="dxa"/>
            </w:tcMar>
            <w:vAlign w:val="center"/>
          </w:tcPr>
          <w:p>
            <w:pPr>
              <w:pStyle w:val="TableContents"/>
              <w:bidi w:val="0"/>
              <w:spacing w:before="0" w:after="283"/>
              <w:jc w:val="both"/>
              <w:rPr/>
            </w:pPr>
            <w:r>
              <w:rPr/>
              <w:t>Form of Certificate of Designation of Preferred Stock.</w:t>
            </w:r>
          </w:p>
        </w:tc>
      </w:tr>
      <w:tr>
        <w:trPr/>
        <w:tc>
          <w:tcPr>
            <w:tcW w:w="9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94" w:type="dxa"/>
            <w:tcBorders/>
            <w:shd w:fill="FFFFFF" w:val="clear"/>
            <w:tcMar>
              <w:bottom w:w="0" w:type="dxa"/>
            </w:tcMar>
            <w:vAlign w:val="center"/>
          </w:tcPr>
          <w:p>
            <w:pPr>
              <w:pStyle w:val="TableContents"/>
              <w:bidi w:val="0"/>
              <w:spacing w:before="0" w:after="283"/>
              <w:jc w:val="both"/>
              <w:rPr/>
            </w:pPr>
            <w:r>
              <w:rPr/>
              <w:t> </w:t>
            </w:r>
          </w:p>
        </w:tc>
      </w:tr>
      <w:tr>
        <w:trPr/>
        <w:tc>
          <w:tcPr>
            <w:tcW w:w="951" w:type="dxa"/>
            <w:tcBorders/>
            <w:shd w:fill="CCEEFF" w:val="clear"/>
            <w:tcMar>
              <w:bottom w:w="0" w:type="dxa"/>
            </w:tcMar>
            <w:vAlign w:val="center"/>
          </w:tcPr>
          <w:p>
            <w:pPr>
              <w:pStyle w:val="TableContents"/>
              <w:bidi w:val="0"/>
              <w:spacing w:before="0" w:after="283"/>
              <w:jc w:val="both"/>
              <w:rPr/>
            </w:pPr>
            <w:r>
              <w:rPr/>
              <w:t>4.3*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94" w:type="dxa"/>
            <w:tcBorders/>
            <w:shd w:fill="CCEEFF" w:val="clear"/>
            <w:tcMar>
              <w:bottom w:w="0" w:type="dxa"/>
            </w:tcMar>
            <w:vAlign w:val="center"/>
          </w:tcPr>
          <w:p>
            <w:pPr>
              <w:pStyle w:val="TableContents"/>
              <w:bidi w:val="0"/>
              <w:spacing w:before="0" w:after="283"/>
              <w:jc w:val="both"/>
              <w:rPr/>
            </w:pPr>
            <w:r>
              <w:rPr/>
              <w:t>Form of Preferred Stock Certificate.</w:t>
            </w:r>
          </w:p>
        </w:tc>
      </w:tr>
      <w:tr>
        <w:trPr/>
        <w:tc>
          <w:tcPr>
            <w:tcW w:w="9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94" w:type="dxa"/>
            <w:tcBorders/>
            <w:shd w:fill="FFFFFF" w:val="clear"/>
            <w:tcMar>
              <w:bottom w:w="0" w:type="dxa"/>
            </w:tcMar>
            <w:vAlign w:val="center"/>
          </w:tcPr>
          <w:p>
            <w:pPr>
              <w:pStyle w:val="TableContents"/>
              <w:bidi w:val="0"/>
              <w:spacing w:before="0" w:after="283"/>
              <w:jc w:val="both"/>
              <w:rPr/>
            </w:pPr>
            <w:r>
              <w:rPr/>
              <w:t> </w:t>
            </w:r>
          </w:p>
        </w:tc>
      </w:tr>
      <w:tr>
        <w:trPr/>
        <w:tc>
          <w:tcPr>
            <w:tcW w:w="951" w:type="dxa"/>
            <w:tcBorders/>
            <w:shd w:fill="CCEEFF" w:val="clear"/>
            <w:tcMar>
              <w:bottom w:w="0" w:type="dxa"/>
            </w:tcMar>
            <w:vAlign w:val="center"/>
          </w:tcPr>
          <w:p>
            <w:pPr>
              <w:pStyle w:val="TableContents"/>
              <w:bidi w:val="0"/>
              <w:spacing w:before="0" w:after="283"/>
              <w:jc w:val="both"/>
              <w:rPr/>
            </w:pPr>
            <w:r>
              <w:rPr/>
              <w:t>4.4*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94" w:type="dxa"/>
            <w:tcBorders/>
            <w:shd w:fill="CCEEFF" w:val="clear"/>
            <w:tcMar>
              <w:bottom w:w="0" w:type="dxa"/>
            </w:tcMar>
            <w:vAlign w:val="center"/>
          </w:tcPr>
          <w:p>
            <w:pPr>
              <w:pStyle w:val="TableContents"/>
              <w:bidi w:val="0"/>
              <w:spacing w:before="0" w:after="283"/>
              <w:jc w:val="both"/>
              <w:rPr/>
            </w:pPr>
            <w:r>
              <w:rPr/>
              <w:t>Form of Debt Security.</w:t>
            </w:r>
          </w:p>
        </w:tc>
      </w:tr>
      <w:tr>
        <w:trPr/>
        <w:tc>
          <w:tcPr>
            <w:tcW w:w="9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94" w:type="dxa"/>
            <w:tcBorders/>
            <w:shd w:fill="FFFFFF" w:val="clear"/>
            <w:tcMar>
              <w:bottom w:w="0" w:type="dxa"/>
            </w:tcMar>
            <w:vAlign w:val="center"/>
          </w:tcPr>
          <w:p>
            <w:pPr>
              <w:pStyle w:val="TableContents"/>
              <w:bidi w:val="0"/>
              <w:spacing w:before="0" w:after="283"/>
              <w:jc w:val="both"/>
              <w:rPr/>
            </w:pPr>
            <w:r>
              <w:rPr/>
              <w:t> </w:t>
            </w:r>
          </w:p>
        </w:tc>
      </w:tr>
      <w:tr>
        <w:trPr/>
        <w:tc>
          <w:tcPr>
            <w:tcW w:w="951" w:type="dxa"/>
            <w:tcBorders/>
            <w:shd w:fill="CCEEFF" w:val="clear"/>
            <w:tcMar>
              <w:bottom w:w="0" w:type="dxa"/>
            </w:tcMar>
            <w:vAlign w:val="center"/>
          </w:tcPr>
          <w:p>
            <w:pPr>
              <w:pStyle w:val="TableContents"/>
              <w:bidi w:val="0"/>
              <w:spacing w:before="0" w:after="283"/>
              <w:jc w:val="both"/>
              <w:rPr/>
            </w:pPr>
            <w:r>
              <w:rPr/>
              <w:t>4.5*</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94" w:type="dxa"/>
            <w:tcBorders/>
            <w:shd w:fill="CCEEFF" w:val="clear"/>
            <w:tcMar>
              <w:bottom w:w="0" w:type="dxa"/>
            </w:tcMar>
            <w:vAlign w:val="center"/>
          </w:tcPr>
          <w:p>
            <w:pPr>
              <w:pStyle w:val="TableContents"/>
              <w:bidi w:val="0"/>
              <w:spacing w:before="0" w:after="283"/>
              <w:jc w:val="both"/>
              <w:rPr/>
            </w:pPr>
            <w:r>
              <w:rPr/>
              <w:t>Form of Warrant Agreement and Warrant Certificate.</w:t>
            </w:r>
          </w:p>
        </w:tc>
      </w:tr>
      <w:tr>
        <w:trPr/>
        <w:tc>
          <w:tcPr>
            <w:tcW w:w="9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94" w:type="dxa"/>
            <w:tcBorders/>
            <w:shd w:fill="FFFFFF" w:val="clear"/>
            <w:tcMar>
              <w:bottom w:w="0" w:type="dxa"/>
            </w:tcMar>
            <w:vAlign w:val="center"/>
          </w:tcPr>
          <w:p>
            <w:pPr>
              <w:pStyle w:val="TableContents"/>
              <w:bidi w:val="0"/>
              <w:spacing w:before="0" w:after="283"/>
              <w:jc w:val="both"/>
              <w:rPr/>
            </w:pPr>
            <w:r>
              <w:rPr/>
              <w:t> </w:t>
            </w:r>
          </w:p>
        </w:tc>
      </w:tr>
      <w:tr>
        <w:trPr/>
        <w:tc>
          <w:tcPr>
            <w:tcW w:w="951" w:type="dxa"/>
            <w:tcBorders/>
            <w:shd w:fill="CCEEFF" w:val="clear"/>
            <w:tcMar>
              <w:bottom w:w="0" w:type="dxa"/>
            </w:tcMar>
            <w:vAlign w:val="center"/>
          </w:tcPr>
          <w:p>
            <w:pPr>
              <w:pStyle w:val="TableContents"/>
              <w:bidi w:val="0"/>
              <w:spacing w:before="0" w:after="283"/>
              <w:jc w:val="both"/>
              <w:rPr/>
            </w:pPr>
            <w:r>
              <w:rPr/>
              <w:t>4.6*</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94" w:type="dxa"/>
            <w:tcBorders/>
            <w:shd w:fill="CCEEFF" w:val="clear"/>
            <w:tcMar>
              <w:bottom w:w="0" w:type="dxa"/>
            </w:tcMar>
            <w:vAlign w:val="center"/>
          </w:tcPr>
          <w:p>
            <w:pPr>
              <w:pStyle w:val="TableContents"/>
              <w:bidi w:val="0"/>
              <w:spacing w:before="0" w:after="283"/>
              <w:jc w:val="both"/>
              <w:rPr/>
            </w:pPr>
            <w:r>
              <w:rPr/>
              <w:t>Form of Rights Agreement and Rights Certificate.</w:t>
            </w:r>
          </w:p>
        </w:tc>
      </w:tr>
      <w:tr>
        <w:trPr/>
        <w:tc>
          <w:tcPr>
            <w:tcW w:w="9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94" w:type="dxa"/>
            <w:tcBorders/>
            <w:shd w:fill="FFFFFF" w:val="clear"/>
            <w:tcMar>
              <w:bottom w:w="0" w:type="dxa"/>
            </w:tcMar>
            <w:vAlign w:val="center"/>
          </w:tcPr>
          <w:p>
            <w:pPr>
              <w:pStyle w:val="TableContents"/>
              <w:bidi w:val="0"/>
              <w:spacing w:before="0" w:after="283"/>
              <w:jc w:val="both"/>
              <w:rPr/>
            </w:pPr>
            <w:r>
              <w:rPr/>
              <w:t> </w:t>
            </w:r>
          </w:p>
        </w:tc>
      </w:tr>
      <w:tr>
        <w:trPr/>
        <w:tc>
          <w:tcPr>
            <w:tcW w:w="951" w:type="dxa"/>
            <w:tcBorders/>
            <w:shd w:fill="CCEEFF" w:val="clear"/>
            <w:tcMar>
              <w:bottom w:w="0" w:type="dxa"/>
            </w:tcMar>
            <w:vAlign w:val="center"/>
          </w:tcPr>
          <w:p>
            <w:pPr>
              <w:pStyle w:val="TableContents"/>
              <w:bidi w:val="0"/>
              <w:spacing w:before="0" w:after="283"/>
              <w:jc w:val="both"/>
              <w:rPr/>
            </w:pPr>
            <w:r>
              <w:rPr/>
              <w:t>4.7</w:t>
            </w:r>
            <w:r>
              <w:rPr>
                <w:position w:val="8"/>
                <w:sz w:val="19"/>
              </w:rPr>
              <w:t>*</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94" w:type="dxa"/>
            <w:tcBorders/>
            <w:shd w:fill="CCEEFF" w:val="clear"/>
            <w:tcMar>
              <w:bottom w:w="0" w:type="dxa"/>
            </w:tcMar>
            <w:vAlign w:val="center"/>
          </w:tcPr>
          <w:p>
            <w:pPr>
              <w:pStyle w:val="TableContents"/>
              <w:bidi w:val="0"/>
              <w:spacing w:before="0" w:after="283"/>
              <w:jc w:val="both"/>
              <w:rPr/>
            </w:pPr>
            <w:r>
              <w:rPr/>
              <w:t>Form of Unit Agreement and Unit Certificate.</w:t>
            </w:r>
          </w:p>
        </w:tc>
      </w:tr>
      <w:tr>
        <w:trPr/>
        <w:tc>
          <w:tcPr>
            <w:tcW w:w="9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94" w:type="dxa"/>
            <w:tcBorders/>
            <w:shd w:fill="FFFFFF" w:val="clear"/>
            <w:tcMar>
              <w:bottom w:w="0" w:type="dxa"/>
            </w:tcMar>
            <w:vAlign w:val="center"/>
          </w:tcPr>
          <w:p>
            <w:pPr>
              <w:pStyle w:val="TableContents"/>
              <w:bidi w:val="0"/>
              <w:spacing w:before="0" w:after="283"/>
              <w:jc w:val="both"/>
              <w:rPr/>
            </w:pPr>
            <w:r>
              <w:rPr/>
              <w:t> </w:t>
            </w:r>
          </w:p>
        </w:tc>
      </w:tr>
      <w:tr>
        <w:trPr/>
        <w:tc>
          <w:tcPr>
            <w:tcW w:w="951" w:type="dxa"/>
            <w:tcBorders/>
            <w:shd w:fill="CCEEFF" w:val="clear"/>
            <w:tcMar>
              <w:bottom w:w="0" w:type="dxa"/>
            </w:tcMar>
            <w:vAlign w:val="center"/>
          </w:tcPr>
          <w:p>
            <w:pPr>
              <w:pStyle w:val="TableContents"/>
              <w:bidi w:val="0"/>
              <w:spacing w:before="0" w:after="283"/>
              <w:jc w:val="both"/>
              <w:rPr/>
            </w:pPr>
            <w:hyperlink w:anchor="tm2623148d1_ex5-1.htm">
              <w:r>
                <w:rPr>
                  <w:rStyle w:val="InternetLink"/>
                </w:rPr>
                <w:t>5.1</w:t>
              </w:r>
            </w:hyperlink>
          </w:p>
        </w:tc>
        <w:tc>
          <w:tcPr>
            <w:tcW w:w="60" w:type="dxa"/>
            <w:tcBorders/>
            <w:shd w:fill="CCEEFF" w:val="clear"/>
            <w:tcMar>
              <w:bottom w:w="0" w:type="dxa"/>
            </w:tcMar>
            <w:vAlign w:val="center"/>
          </w:tcPr>
          <w:p>
            <w:pPr>
              <w:pStyle w:val="TableContents"/>
              <w:bidi w:val="0"/>
              <w:spacing w:before="0" w:after="283"/>
              <w:jc w:val="both"/>
              <w:rPr/>
            </w:pPr>
            <w:r>
              <w:rPr/>
              <w:t> </w:t>
            </w:r>
          </w:p>
        </w:tc>
        <w:tc>
          <w:tcPr>
            <w:tcW w:w="9194" w:type="dxa"/>
            <w:tcBorders/>
            <w:shd w:fill="CCEEFF" w:val="clear"/>
            <w:tcMar>
              <w:bottom w:w="0" w:type="dxa"/>
            </w:tcMar>
            <w:vAlign w:val="center"/>
          </w:tcPr>
          <w:p>
            <w:pPr>
              <w:pStyle w:val="TableContents"/>
              <w:bidi w:val="0"/>
              <w:spacing w:before="0" w:after="283"/>
              <w:jc w:val="both"/>
              <w:rPr/>
            </w:pPr>
            <w:hyperlink w:anchor="tm2623148d1_ex5-1.htm">
              <w:r>
                <w:rPr>
                  <w:rStyle w:val="InternetLink"/>
                </w:rPr>
                <w:t>Opinion of McCarter &amp; English, LLP.</w:t>
              </w:r>
            </w:hyperlink>
          </w:p>
        </w:tc>
      </w:tr>
      <w:tr>
        <w:trPr/>
        <w:tc>
          <w:tcPr>
            <w:tcW w:w="9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94" w:type="dxa"/>
            <w:tcBorders/>
            <w:shd w:fill="FFFFFF" w:val="clear"/>
            <w:tcMar>
              <w:bottom w:w="0" w:type="dxa"/>
            </w:tcMar>
            <w:vAlign w:val="center"/>
          </w:tcPr>
          <w:p>
            <w:pPr>
              <w:pStyle w:val="TableContents"/>
              <w:bidi w:val="0"/>
              <w:spacing w:before="0" w:after="283"/>
              <w:jc w:val="both"/>
              <w:rPr/>
            </w:pPr>
            <w:r>
              <w:rPr/>
              <w:t> </w:t>
            </w:r>
          </w:p>
        </w:tc>
      </w:tr>
      <w:tr>
        <w:trPr/>
        <w:tc>
          <w:tcPr>
            <w:tcW w:w="951" w:type="dxa"/>
            <w:tcBorders/>
            <w:shd w:fill="CCEEFF" w:val="clear"/>
            <w:tcMar>
              <w:bottom w:w="0" w:type="dxa"/>
            </w:tcMar>
            <w:vAlign w:val="center"/>
          </w:tcPr>
          <w:p>
            <w:pPr>
              <w:pStyle w:val="TableContents"/>
              <w:bidi w:val="0"/>
              <w:spacing w:before="0" w:after="283"/>
              <w:jc w:val="both"/>
              <w:rPr/>
            </w:pPr>
            <w:hyperlink w:anchor="tm2623148d1_ex23-1.htm">
              <w:r>
                <w:rPr>
                  <w:rStyle w:val="InternetLink"/>
                </w:rPr>
                <w:t>23.1</w:t>
              </w:r>
            </w:hyperlink>
          </w:p>
        </w:tc>
        <w:tc>
          <w:tcPr>
            <w:tcW w:w="60" w:type="dxa"/>
            <w:tcBorders/>
            <w:shd w:fill="CCEEFF" w:val="clear"/>
            <w:tcMar>
              <w:bottom w:w="0" w:type="dxa"/>
            </w:tcMar>
            <w:vAlign w:val="center"/>
          </w:tcPr>
          <w:p>
            <w:pPr>
              <w:pStyle w:val="TableContents"/>
              <w:bidi w:val="0"/>
              <w:spacing w:before="0" w:after="283"/>
              <w:jc w:val="both"/>
              <w:rPr/>
            </w:pPr>
            <w:r>
              <w:rPr/>
              <w:t> </w:t>
            </w:r>
          </w:p>
        </w:tc>
        <w:tc>
          <w:tcPr>
            <w:tcW w:w="9194" w:type="dxa"/>
            <w:tcBorders/>
            <w:shd w:fill="CCEEFF" w:val="clear"/>
            <w:tcMar>
              <w:bottom w:w="0" w:type="dxa"/>
            </w:tcMar>
            <w:vAlign w:val="center"/>
          </w:tcPr>
          <w:p>
            <w:pPr>
              <w:pStyle w:val="TableContents"/>
              <w:bidi w:val="0"/>
              <w:spacing w:before="0" w:after="283"/>
              <w:jc w:val="both"/>
              <w:rPr/>
            </w:pPr>
            <w:hyperlink w:anchor="tm2623148d1_ex23-1.htm">
              <w:r>
                <w:rPr>
                  <w:rStyle w:val="InternetLink"/>
                </w:rPr>
                <w:t>Consent of Audit Alliance LLP.</w:t>
              </w:r>
            </w:hyperlink>
          </w:p>
        </w:tc>
      </w:tr>
      <w:tr>
        <w:trPr/>
        <w:tc>
          <w:tcPr>
            <w:tcW w:w="9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94" w:type="dxa"/>
            <w:tcBorders/>
            <w:shd w:fill="FFFFFF" w:val="clear"/>
            <w:tcMar>
              <w:bottom w:w="0" w:type="dxa"/>
            </w:tcMar>
            <w:vAlign w:val="center"/>
          </w:tcPr>
          <w:p>
            <w:pPr>
              <w:pStyle w:val="TableContents"/>
              <w:bidi w:val="0"/>
              <w:spacing w:before="0" w:after="283"/>
              <w:jc w:val="both"/>
              <w:rPr/>
            </w:pPr>
            <w:r>
              <w:rPr/>
              <w:t> </w:t>
            </w:r>
          </w:p>
        </w:tc>
      </w:tr>
      <w:tr>
        <w:trPr/>
        <w:tc>
          <w:tcPr>
            <w:tcW w:w="951" w:type="dxa"/>
            <w:tcBorders/>
            <w:shd w:fill="CCEEFF" w:val="clear"/>
            <w:tcMar>
              <w:bottom w:w="0" w:type="dxa"/>
            </w:tcMar>
            <w:vAlign w:val="center"/>
          </w:tcPr>
          <w:p>
            <w:pPr>
              <w:pStyle w:val="TableContents"/>
              <w:bidi w:val="0"/>
              <w:spacing w:before="0" w:after="283"/>
              <w:jc w:val="both"/>
              <w:rPr/>
            </w:pPr>
            <w:hyperlink w:anchor="tm2623148d1_ex23-2.htm">
              <w:r>
                <w:rPr>
                  <w:rStyle w:val="InternetLink"/>
                </w:rPr>
                <w:t>23.2</w:t>
              </w:r>
            </w:hyperlink>
          </w:p>
        </w:tc>
        <w:tc>
          <w:tcPr>
            <w:tcW w:w="60" w:type="dxa"/>
            <w:tcBorders/>
            <w:shd w:fill="CCEEFF" w:val="clear"/>
            <w:tcMar>
              <w:bottom w:w="0" w:type="dxa"/>
            </w:tcMar>
            <w:vAlign w:val="center"/>
          </w:tcPr>
          <w:p>
            <w:pPr>
              <w:pStyle w:val="TableContents"/>
              <w:bidi w:val="0"/>
              <w:spacing w:before="0" w:after="283"/>
              <w:jc w:val="both"/>
              <w:rPr/>
            </w:pPr>
            <w:r>
              <w:rPr/>
              <w:t> </w:t>
            </w:r>
          </w:p>
        </w:tc>
        <w:tc>
          <w:tcPr>
            <w:tcW w:w="9194" w:type="dxa"/>
            <w:tcBorders/>
            <w:shd w:fill="CCEEFF" w:val="clear"/>
            <w:tcMar>
              <w:bottom w:w="0" w:type="dxa"/>
            </w:tcMar>
            <w:vAlign w:val="center"/>
          </w:tcPr>
          <w:p>
            <w:pPr>
              <w:pStyle w:val="TableContents"/>
              <w:bidi w:val="0"/>
              <w:spacing w:before="0" w:after="283"/>
              <w:jc w:val="both"/>
              <w:rPr/>
            </w:pPr>
            <w:hyperlink w:anchor="tm2623148d1_ex23-2.htm">
              <w:r>
                <w:rPr>
                  <w:rStyle w:val="InternetLink"/>
                </w:rPr>
                <w:t>Consent of Golden Eagle CPAs LLC.</w:t>
              </w:r>
            </w:hyperlink>
          </w:p>
        </w:tc>
      </w:tr>
      <w:tr>
        <w:trPr/>
        <w:tc>
          <w:tcPr>
            <w:tcW w:w="9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94" w:type="dxa"/>
            <w:tcBorders/>
            <w:shd w:fill="FFFFFF" w:val="clear"/>
            <w:tcMar>
              <w:bottom w:w="0" w:type="dxa"/>
            </w:tcMar>
            <w:vAlign w:val="center"/>
          </w:tcPr>
          <w:p>
            <w:pPr>
              <w:pStyle w:val="TableContents"/>
              <w:bidi w:val="0"/>
              <w:spacing w:before="0" w:after="283"/>
              <w:jc w:val="both"/>
              <w:rPr/>
            </w:pPr>
            <w:r>
              <w:rPr/>
              <w:t> </w:t>
            </w:r>
          </w:p>
        </w:tc>
      </w:tr>
      <w:tr>
        <w:trPr/>
        <w:tc>
          <w:tcPr>
            <w:tcW w:w="951" w:type="dxa"/>
            <w:tcBorders/>
            <w:shd w:fill="CCEEFF" w:val="clear"/>
            <w:tcMar>
              <w:bottom w:w="0" w:type="dxa"/>
            </w:tcMar>
            <w:vAlign w:val="center"/>
          </w:tcPr>
          <w:p>
            <w:pPr>
              <w:pStyle w:val="TableContents"/>
              <w:bidi w:val="0"/>
              <w:spacing w:before="0" w:after="283"/>
              <w:jc w:val="both"/>
              <w:rPr/>
            </w:pPr>
            <w:hyperlink w:anchor="tm2623148d1_ex5-1.htm">
              <w:r>
                <w:rPr>
                  <w:rStyle w:val="InternetLink"/>
                </w:rPr>
                <w:t>23.3</w:t>
              </w:r>
            </w:hyperlink>
          </w:p>
        </w:tc>
        <w:tc>
          <w:tcPr>
            <w:tcW w:w="60" w:type="dxa"/>
            <w:tcBorders/>
            <w:shd w:fill="CCEEFF" w:val="clear"/>
            <w:tcMar>
              <w:bottom w:w="0" w:type="dxa"/>
            </w:tcMar>
            <w:vAlign w:val="center"/>
          </w:tcPr>
          <w:p>
            <w:pPr>
              <w:pStyle w:val="TableContents"/>
              <w:bidi w:val="0"/>
              <w:spacing w:before="0" w:after="283"/>
              <w:jc w:val="both"/>
              <w:rPr/>
            </w:pPr>
            <w:r>
              <w:rPr/>
              <w:t> </w:t>
            </w:r>
          </w:p>
        </w:tc>
        <w:tc>
          <w:tcPr>
            <w:tcW w:w="9194" w:type="dxa"/>
            <w:tcBorders/>
            <w:shd w:fill="CCEEFF" w:val="clear"/>
            <w:tcMar>
              <w:bottom w:w="0" w:type="dxa"/>
            </w:tcMar>
            <w:vAlign w:val="center"/>
          </w:tcPr>
          <w:p>
            <w:pPr>
              <w:pStyle w:val="TableContents"/>
              <w:bidi w:val="0"/>
              <w:spacing w:before="0" w:after="283"/>
              <w:jc w:val="both"/>
              <w:rPr/>
            </w:pPr>
            <w:hyperlink w:anchor="tm2623148d1_ex5-1.htm">
              <w:r>
                <w:rPr>
                  <w:rStyle w:val="InternetLink"/>
                </w:rPr>
                <w:t>Consent of McCarter &amp; English, LLP (included in Exhibit 5.1).</w:t>
              </w:r>
            </w:hyperlink>
          </w:p>
        </w:tc>
      </w:tr>
      <w:tr>
        <w:trPr/>
        <w:tc>
          <w:tcPr>
            <w:tcW w:w="9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94" w:type="dxa"/>
            <w:tcBorders/>
            <w:shd w:fill="FFFFFF" w:val="clear"/>
            <w:tcMar>
              <w:bottom w:w="0" w:type="dxa"/>
            </w:tcMar>
            <w:vAlign w:val="center"/>
          </w:tcPr>
          <w:p>
            <w:pPr>
              <w:pStyle w:val="TableContents"/>
              <w:bidi w:val="0"/>
              <w:spacing w:before="0" w:after="283"/>
              <w:jc w:val="both"/>
              <w:rPr/>
            </w:pPr>
            <w:r>
              <w:rPr/>
              <w:t> </w:t>
            </w:r>
          </w:p>
        </w:tc>
      </w:tr>
      <w:tr>
        <w:trPr/>
        <w:tc>
          <w:tcPr>
            <w:tcW w:w="951" w:type="dxa"/>
            <w:tcBorders/>
            <w:shd w:fill="CCEEFF" w:val="clear"/>
            <w:tcMar>
              <w:bottom w:w="0" w:type="dxa"/>
            </w:tcMar>
            <w:vAlign w:val="center"/>
          </w:tcPr>
          <w:p>
            <w:pPr>
              <w:pStyle w:val="TableContents"/>
              <w:bidi w:val="0"/>
              <w:spacing w:before="0" w:after="283"/>
              <w:jc w:val="both"/>
              <w:rPr/>
            </w:pPr>
            <w:hyperlink w:anchor="poa">
              <w:r>
                <w:rPr>
                  <w:rStyle w:val="InternetLink"/>
                </w:rPr>
                <w:t>24.1</w:t>
              </w:r>
            </w:hyperlink>
          </w:p>
        </w:tc>
        <w:tc>
          <w:tcPr>
            <w:tcW w:w="60" w:type="dxa"/>
            <w:tcBorders/>
            <w:shd w:fill="CCEEFF" w:val="clear"/>
            <w:tcMar>
              <w:bottom w:w="0" w:type="dxa"/>
            </w:tcMar>
            <w:vAlign w:val="center"/>
          </w:tcPr>
          <w:p>
            <w:pPr>
              <w:pStyle w:val="TableContents"/>
              <w:bidi w:val="0"/>
              <w:spacing w:before="0" w:after="283"/>
              <w:jc w:val="both"/>
              <w:rPr/>
            </w:pPr>
            <w:r>
              <w:rPr/>
              <w:t> </w:t>
            </w:r>
          </w:p>
        </w:tc>
        <w:tc>
          <w:tcPr>
            <w:tcW w:w="9194" w:type="dxa"/>
            <w:tcBorders/>
            <w:shd w:fill="CCEEFF" w:val="clear"/>
            <w:tcMar>
              <w:bottom w:w="0" w:type="dxa"/>
            </w:tcMar>
            <w:vAlign w:val="center"/>
          </w:tcPr>
          <w:p>
            <w:pPr>
              <w:pStyle w:val="TableContents"/>
              <w:bidi w:val="0"/>
              <w:spacing w:before="0" w:after="283"/>
              <w:jc w:val="both"/>
              <w:rPr/>
            </w:pPr>
            <w:hyperlink w:anchor="poa">
              <w:r>
                <w:rPr>
                  <w:rStyle w:val="InternetLink"/>
                </w:rPr>
                <w:t>Power of Attorney (set forth on the signature page hereto).</w:t>
              </w:r>
            </w:hyperlink>
          </w:p>
        </w:tc>
      </w:tr>
      <w:tr>
        <w:trPr/>
        <w:tc>
          <w:tcPr>
            <w:tcW w:w="9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94" w:type="dxa"/>
            <w:tcBorders/>
            <w:shd w:fill="FFFFFF" w:val="clear"/>
            <w:tcMar>
              <w:bottom w:w="0" w:type="dxa"/>
            </w:tcMar>
            <w:vAlign w:val="center"/>
          </w:tcPr>
          <w:p>
            <w:pPr>
              <w:pStyle w:val="TableContents"/>
              <w:bidi w:val="0"/>
              <w:spacing w:before="0" w:after="283"/>
              <w:jc w:val="both"/>
              <w:rPr/>
            </w:pPr>
            <w:r>
              <w:rPr/>
              <w:t> </w:t>
            </w:r>
          </w:p>
        </w:tc>
      </w:tr>
      <w:tr>
        <w:trPr/>
        <w:tc>
          <w:tcPr>
            <w:tcW w:w="951" w:type="dxa"/>
            <w:tcBorders/>
            <w:shd w:fill="CCEEFF" w:val="clear"/>
            <w:tcMar>
              <w:bottom w:w="0" w:type="dxa"/>
            </w:tcMar>
            <w:vAlign w:val="center"/>
          </w:tcPr>
          <w:p>
            <w:pPr>
              <w:pStyle w:val="TableContents"/>
              <w:bidi w:val="0"/>
              <w:spacing w:before="0" w:after="283"/>
              <w:jc w:val="left"/>
              <w:rPr/>
            </w:pPr>
            <w:hyperlink w:anchor="tm2623148d1_ex-filingfees.htm">
              <w:r>
                <w:rPr>
                  <w:rStyle w:val="InternetLink"/>
                </w:rPr>
                <w:t>107</w:t>
              </w:r>
            </w:hyperlink>
          </w:p>
        </w:tc>
        <w:tc>
          <w:tcPr>
            <w:tcW w:w="60" w:type="dxa"/>
            <w:tcBorders/>
            <w:shd w:fill="CCEEFF" w:val="clear"/>
            <w:tcMar>
              <w:bottom w:w="0" w:type="dxa"/>
            </w:tcMar>
            <w:vAlign w:val="center"/>
          </w:tcPr>
          <w:p>
            <w:pPr>
              <w:pStyle w:val="TableContents"/>
              <w:bidi w:val="0"/>
              <w:spacing w:before="0" w:after="283"/>
              <w:jc w:val="both"/>
              <w:rPr/>
            </w:pPr>
            <w:r>
              <w:rPr/>
              <w:t> </w:t>
            </w:r>
          </w:p>
        </w:tc>
        <w:tc>
          <w:tcPr>
            <w:tcW w:w="9194" w:type="dxa"/>
            <w:tcBorders/>
            <w:shd w:fill="CCEEFF" w:val="clear"/>
            <w:tcMar>
              <w:bottom w:w="0" w:type="dxa"/>
            </w:tcMar>
            <w:vAlign w:val="center"/>
          </w:tcPr>
          <w:p>
            <w:pPr>
              <w:pStyle w:val="TableContents"/>
              <w:bidi w:val="0"/>
              <w:spacing w:before="0" w:after="283"/>
              <w:jc w:val="both"/>
              <w:rPr/>
            </w:pPr>
            <w:hyperlink w:anchor="tm2623148d1_ex-filingfees.htm">
              <w:r>
                <w:rPr>
                  <w:rStyle w:val="InternetLink"/>
                </w:rPr>
                <w:t>Calculation of Filing Fee Tables.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filed, if necessary, subsequent to the effectiveness of this registration statement by an amendment to this registration statement or incorporated by reference pursuant to a Current Report on Form 8-K in connection with the offering of securities.</w:t>
            </w:r>
          </w:p>
        </w:tc>
      </w:tr>
    </w:tbl>
    <w:p>
      <w:pPr>
        <w:pStyle w:val="TextBody"/>
        <w:bidi w:val="0"/>
        <w:spacing w:before="0" w:after="0"/>
        <w:ind w:left="0" w:right="0" w:hanging="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23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right"/>
        <w:rPr>
          <w:caps w:val="false"/>
          <w:smallCaps w:val="false"/>
        </w:rPr>
      </w:pPr>
      <w:bookmarkStart w:id="20" w:name="tm2623148d1_ex5-1.htm"/>
      <w:bookmarkStart w:id="21" w:name="kstm2623148d1_ex51"/>
      <w:bookmarkEnd w:id="20"/>
      <w:bookmarkEnd w:id="2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right"/>
        <w:rPr>
          <w:caps w:val="false"/>
          <w:smallCaps w:val="false"/>
        </w:rPr>
      </w:pPr>
      <w:r>
        <w:rPr>
          <w:caps w:val="false"/>
          <w:smallCaps w:val="false"/>
        </w:rPr>
        <w:t> </w:t>
      </w:r>
    </w:p>
    <w:tbl>
      <w:tblPr>
        <w:tblW w:w="3920" w:type="dxa"/>
        <w:jc w:val="left"/>
        <w:tblInd w:w="0" w:type="dxa"/>
        <w:tblLayout w:type="fixed"/>
        <w:tblCellMar>
          <w:top w:w="0" w:type="dxa"/>
          <w:left w:w="0" w:type="dxa"/>
          <w:bottom w:w="0" w:type="dxa"/>
          <w:right w:w="0" w:type="dxa"/>
        </w:tblCellMar>
      </w:tblPr>
      <w:tblGrid>
        <w:gridCol w:w="1815"/>
        <w:gridCol w:w="2105"/>
      </w:tblGrid>
      <w:tr>
        <w:trPr/>
        <w:tc>
          <w:tcPr>
            <w:tcW w:w="1815" w:type="dxa"/>
            <w:tcBorders/>
            <w:vAlign w:val="center"/>
          </w:tcPr>
          <w:p>
            <w:pPr>
              <w:pStyle w:val="TableContents"/>
              <w:bidi w:val="0"/>
              <w:spacing w:before="0" w:after="283"/>
              <w:jc w:val="left"/>
              <w:rPr/>
            </w:pPr>
            <w:r>
              <w:rPr/>
              <w:drawing>
                <wp:inline distT="0" distB="0" distL="0" distR="0">
                  <wp:extent cx="1143000"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1143000" cy="485775"/>
                          </a:xfrm>
                          <a:prstGeom prst="rect">
                            <a:avLst/>
                          </a:prstGeom>
                        </pic:spPr>
                      </pic:pic>
                    </a:graphicData>
                  </a:graphic>
                </wp:inline>
              </w:drawing>
            </w:r>
          </w:p>
        </w:tc>
        <w:tc>
          <w:tcPr>
            <w:tcW w:w="21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McCarter &amp; English,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W 55th St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13th Fl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www.mccarter.com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By electronic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Elite Express Holding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23046 Avenida De La Carlota, Suite 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Laguna Hills, CA 92653</w:t>
      </w:r>
    </w:p>
    <w:p>
      <w:pPr>
        <w:pStyle w:val="TextBody"/>
        <w:bidi w:val="0"/>
        <w:spacing w:before="0" w:after="0"/>
        <w:ind w:left="0" w:right="0" w:hanging="0"/>
        <w:jc w:val="left"/>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38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b/>
              </w:rPr>
            </w:pPr>
            <w:r>
              <w:rPr>
                <w:b/>
              </w:rPr>
              <w:t>Re:</w:t>
            </w:r>
          </w:p>
        </w:tc>
        <w:tc>
          <w:tcPr>
            <w:tcW w:w="3695" w:type="dxa"/>
            <w:tcBorders/>
            <w:vAlign w:val="center"/>
          </w:tcPr>
          <w:p>
            <w:pPr>
              <w:pStyle w:val="TableContents"/>
              <w:bidi w:val="0"/>
              <w:spacing w:before="0" w:after="283"/>
              <w:jc w:val="both"/>
              <w:rPr>
                <w:b/>
              </w:rPr>
            </w:pPr>
            <w:r>
              <w:rPr>
                <w:b/>
              </w:rPr>
              <w:t>Registration Statement on Form S-3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be advised that we have acted as counsel to Elite Express Holding Inc., a Delaware corporation (the “Company”), in connection with the preparation and filing by the Company with the U.S. Securities and Exchange Commission (the “Commission”) of a Registration Statement on Form S-3, including the prospectus constituting a part thereof (as may be amended, the “Registration Statement”) under the Securities Act of 1933, as amended (the “Securities Act”), relating to the proposed issuance and sale, from time to time, by the Company of up to $300,000,000 aggregate offering gross proceeds, of the following securities of the Company: (i) shares of the Company’s Class A common stock, par value $0.000001 per share (the “Class A Common Stock”), (ii) shares of the Company’s preferred stock, par value $0.000001 per share (the “Preferred Stock”), (iii) debt securities of the Company (the “Debt Securities”), (iv) warrants to purchase Class A Common Stock, Preferred Stock or Debt Securities (the “Warrants”), (v) rights to purchase Class A Common Stock, Preferred Stock or other securities of the Company (the “Rights”), and (vi) units comprised of one or more of the foregoing securities (the “Units,” and collectively with the Class A Common Stock, Preferred Stock, Debt Securities, Warrants and Rights, the “Securities”). The Securities may be offered separately or together, in one or more series or classes, in amounts, at prices and on terms to be set forth in one or more supplements to the prospectus included in the Registration Statement. All terms not otherwise defined herein shall have the meanings ascribed to them in the Registration Statement, as applicable.</w:t>
      </w:r>
    </w:p>
    <w:p>
      <w:pPr>
        <w:pStyle w:val="TextBody"/>
        <w:bidi w:val="0"/>
        <w:spacing w:before="0" w:after="0"/>
        <w:ind w:left="648"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delivering this opinion pursuant to the requirements of Item 601(b)(5) of Regulation S-K under the Securities Act.</w:t>
      </w:r>
    </w:p>
    <w:p>
      <w:pPr>
        <w:pStyle w:val="TextBody"/>
        <w:bidi w:val="0"/>
        <w:spacing w:before="0" w:after="0"/>
        <w:ind w:left="648"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opinions set forth herein, we have examined originals or copies, certified or otherwise identified to our satisfaction as being true copies of such records of the Company, such certificates of public officials, officers of the Company and others, and other documents as we have deemed necessary for the purposes of these opinions. Without limiting the foregoing, we have reviewed, examined and relied upon:</w:t>
      </w:r>
    </w:p>
    <w:p>
      <w:pPr>
        <w:pStyle w:val="TextBody"/>
        <w:bidi w:val="0"/>
        <w:spacing w:before="0" w:after="0"/>
        <w:ind w:left="64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Certificate of Incorporation of the Company, as amended to date and currently in effect;</w:t>
            </w:r>
          </w:p>
        </w:tc>
      </w:tr>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of the Company, as amended to date and currently in effect;</w:t>
            </w:r>
          </w:p>
        </w:tc>
      </w:tr>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Unanimous Written Consent of the board of directors of the Company (the “Board”) dated August 28, 2026, approving the filing of the Registration Statement and the actions to be taken in connection therewith;</w:t>
            </w:r>
          </w:p>
        </w:tc>
      </w:tr>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Registration Statement signed by each member of the Board, to which this opinion letter is attached as an exhibit; and</w:t>
            </w:r>
          </w:p>
        </w:tc>
      </w:tr>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records, certificates and other documents as we have deemed necessary or advisable to form the basis of the opinions hereinafter set forth.</w:t>
            </w:r>
          </w:p>
        </w:tc>
      </w:tr>
    </w:tbl>
    <w:p>
      <w:pPr>
        <w:pStyle w:val="TextBody"/>
        <w:bidi w:val="0"/>
        <w:spacing w:before="0" w:after="0"/>
        <w:ind w:left="1152" w:right="0" w:hanging="360"/>
        <w:jc w:val="both"/>
        <w:rPr>
          <w:caps w:val="false"/>
          <w:smallCaps w:val="false"/>
        </w:rPr>
      </w:pPr>
      <w:r>
        <w:rPr>
          <w:caps w:val="false"/>
          <w:smallCaps w:val="false"/>
        </w:rPr>
        <w:t> </w:t>
      </w:r>
    </w:p>
    <w:p>
      <w:pPr>
        <w:pStyle w:val="TextBody"/>
        <w:bidi w:val="0"/>
        <w:spacing w:before="0" w:after="0"/>
        <w:ind w:left="648"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(i) the genuineness of all signatures, the legal capacity of all natural persons, and the authenticity of all documents submitted to us as originals and the conformity to the original documents of all documents submitted to us as certified or photostatic copies, and (ii) the completeness and accuracy of all documents tendered to us as originals and the correctness of all certified, facsimile, electronic or photostatic copies provided to us and we have relied upon the aforesaid documents, including the accuracy of factual matters contained therein, without independent investigation. We also have assumed, without verification, for the purposes of these opinions, (i) that all non-natural parties (other than the Company) are duly organized or incorporated, validly existing and in good standing under all applicable laws, (ii) the due authorization, execution and delivery of all documents, agreements or other instruments submitted to us by any party thereto other than the Company, (iii) that any such other parties (other than the Company) have the requisite capacity, power and authority and have taken all necessary action to execute each of the documents, agreements or other instruments submitted to us, to which such person is a party, and to consummate the actions contemplated thereby, and (iv) that each of the documents, agreements or other instruments examined by us constitutes a legal, valid and binding obligation of each applicable party (other than the Company) enforceable against such party in accordance with its terms.</w:t>
      </w:r>
    </w:p>
    <w:p>
      <w:pPr>
        <w:pStyle w:val="TextBody"/>
        <w:bidi w:val="0"/>
        <w:spacing w:before="0" w:after="0"/>
        <w:ind w:left="648"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 respect to each issuance of any Securities, we have assumed that (i) the Registration Statement and any amendments thereto will have become effective under the Securities Act and such effectiveness will not have been terminated or rescinded, (ii) a prospectus supplement describing the Securities offered thereby will have been prepared and filed with the Commission in compliance with the Securities Act and the rules and regulations thereunder, (iii) the Board or a duly authorized committee thereof will have taken all necessary corporate action to authorize and approve the issuance, terms and sale of such Securities and any agreements, instruments or other documents relating thereto, (iv) any applicable agreement or instrument governing any Debt Securities (excluding any indenture), Warrants, Rights or Units, will have been duly authorized, executed and delivered by the Company and the other parties thereto, (v) such Securities will be issued and sold in the manner contemplated by the Registration Statement, the applicable prospectus supplement and the applicable definitive agreements, instruments or other documents, (vi) the Company will remain validly existing and in good standing under the laws of the State of Delaware, and (vii) the issuance of any shares of Class A Common Stock or Preferred Stock, including shares issuable upon conversion, exchange or exercise of other Securities, will not exceed the number of shares of the applicable class or series then authorized and available for issuance under the Company’s Certificate of Incorporation, and the consideration received by the Company for any such shares will be not less than the par value thereof.</w:t>
      </w:r>
    </w:p>
    <w:p>
      <w:pPr>
        <w:pStyle w:val="TextBody"/>
        <w:bidi w:val="0"/>
        <w:spacing w:before="0" w:after="0"/>
        <w:ind w:left="648"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no independent investigation of factual matters set forth in each of the documents, agreements or other instruments examined by us, or representations made in any such document including any and all exhibits, attachments and joinders thereto, for the purpose of rendering the opinions expressed below. We have not attempted to independently verify such facts and we assume that all such facts are correct. We have not conducted a search of any electronic databases or the dockets of any court, administrative or regulatory body, agency or other filing office in any jurisdiction.</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any of the other limitations, exceptions and qualifications stated elsewhere herein, we express no opinion with regard to the applicability or effect of the laws of any jurisdiction other than: (i) the federal securities laws of the United States of America; (ii) the laws of the State of New York as in effect as of the date hereof; and (iii) the General Corporation Law of the State of Delaware (collectively, the “Applicable Laws”). This opinion letter deals only with the specified legal issues expressly addressed herein, and you should not infer any opinion that is not explicitly stated herein from any matter addressed in this opinion letter.</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assumptions, limitations and exceptions stated herein, we are of the opinion that:</w:t>
      </w:r>
    </w:p>
    <w:p>
      <w:pPr>
        <w:pStyle w:val="TextBody"/>
        <w:bidi w:val="0"/>
        <w:spacing w:before="0" w:after="0"/>
        <w:ind w:left="64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ind w:left="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60" w:type="dxa"/>
            <w:tcBorders/>
            <w:vAlign w:val="center"/>
          </w:tcPr>
          <w:p>
            <w:pPr>
              <w:pStyle w:val="TableContents"/>
              <w:bidi w:val="0"/>
              <w:spacing w:before="0" w:after="283"/>
              <w:ind w:left="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issuance and terms of the Class A Common Stock have been duly authorized by the Board and such shares have been issued and delivered to, and paid for by, the purchasers thereof as described in the Registration Statement and the applicable prospectus supplement, for consideration in an amount not less than the par value thereof, such shares of Class A Common Stock will be duly authorized, validly issued, fully paid and nonassessable.</w:t>
            </w:r>
          </w:p>
        </w:tc>
      </w:tr>
      <w:tr>
        <w:trPr/>
        <w:tc>
          <w:tcPr>
            <w:tcW w:w="14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tcBorders/>
            <w:vAlign w:val="center"/>
          </w:tcPr>
          <w:p>
            <w:pPr>
              <w:pStyle w:val="TableContents"/>
              <w:bidi w:val="0"/>
              <w:spacing w:before="0" w:after="283"/>
              <w:ind w:left="0" w:right="0" w:hanging="360"/>
              <w:jc w:val="left"/>
              <w:rPr/>
            </w:pPr>
            <w:r>
              <w:rPr/>
              <w:t> </w:t>
            </w:r>
          </w:p>
        </w:tc>
      </w:tr>
      <w:tr>
        <w:trPr/>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0" w:type="dxa"/>
            <w:tcBorders/>
            <w:vAlign w:val="center"/>
          </w:tcPr>
          <w:p>
            <w:pPr>
              <w:pStyle w:val="TableContents"/>
              <w:bidi w:val="0"/>
              <w:spacing w:before="0" w:after="283"/>
              <w:ind w:left="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issuance, terms and designation of any series of Preferred Stock have been duly authorized by the Board, any certificate of designation required in connection therewith has been duly executed and filed with the Secretary of State of the State of Delaware, and such shares have been issued and delivered to, and paid for by, the purchasers thereof as described in the Registration Statement and the applicable prospectus supplement, for consideration in an amount not less than the par value thereof, such shares of Preferred Stock will be duly authorized, validly issued, fully paid and nonassessable.</w:t>
            </w:r>
          </w:p>
        </w:tc>
      </w:tr>
      <w:tr>
        <w:trPr/>
        <w:tc>
          <w:tcPr>
            <w:tcW w:w="14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tcBorders/>
            <w:vAlign w:val="center"/>
          </w:tcPr>
          <w:p>
            <w:pPr>
              <w:pStyle w:val="TableContents"/>
              <w:bidi w:val="0"/>
              <w:spacing w:before="0" w:after="283"/>
              <w:ind w:left="0" w:right="0" w:hanging="360"/>
              <w:jc w:val="left"/>
              <w:rPr/>
            </w:pPr>
            <w:r>
              <w:rPr/>
              <w:t> </w:t>
            </w:r>
          </w:p>
        </w:tc>
      </w:tr>
      <w:tr>
        <w:trPr/>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the applicable Debt Securities and any agreement or instrument governing such Debt Securities are governed by the laws of the State of New York, when (A) the terms of such Debt Securities and their issuance and sale have been duly established and authorized by the Board or a duly authorized committee thereof, (B) any such agreement or instrument has been duly authorized, executed and delivered by the Company and the other parties thereto, and (C) such Debt Securities have been duly executed, issued and delivered against payment therefor in the manner contemplated by the Registration Statement, the applicable prospectus supplement and the applicable definitive agreements or instruments, such Debt Securities will constitute legal, valid and binding obligations of the Company, enforceable against the Company in accordance with their terms.</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ind w:left="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8" w:type="dxa"/>
            <w:tcBorders/>
            <w:vAlign w:val="center"/>
          </w:tcPr>
          <w:p>
            <w:pPr>
              <w:pStyle w:val="TableContents"/>
              <w:bidi w:val="0"/>
              <w:spacing w:before="0" w:after="283"/>
              <w:ind w:left="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the applicable Warrants and any warrant agreement or other instrument governing such Warrants are governed by the laws of the State of New York, when the terms of such Warrants have been duly established and authorized by the Board and such Warrants have been duly executed, issued and delivered against payment therefor in the manner contemplated by the Registration Statement, the applicable prospectus supplement and the applicable definitive agreements or instruments, such Warrants will constitute legal, valid and binding obligations of the Company, enforceable against the Company in accordance with their terms.</w:t>
            </w:r>
          </w:p>
        </w:tc>
      </w:tr>
      <w:tr>
        <w:trPr/>
        <w:tc>
          <w:tcPr>
            <w:tcW w:w="147" w:type="dxa"/>
            <w:tcBorders/>
            <w:vAlign w:val="center"/>
          </w:tcPr>
          <w:p>
            <w:pPr>
              <w:pStyle w:val="TableContents"/>
              <w:bidi w:val="0"/>
              <w:spacing w:before="0" w:after="283"/>
              <w:jc w:val="left"/>
              <w:rPr>
                <w:caps w:val="false"/>
                <w:smallCaps w:val="false"/>
              </w:rPr>
            </w:pPr>
            <w:r>
              <w:rPr>
                <w:caps w:val="false"/>
                <w:smallCaps w:val="false"/>
              </w:rPr>
              <w:t> </w:t>
            </w:r>
          </w:p>
        </w:tc>
        <w:tc>
          <w:tcPr>
            <w:tcW w:w="10058" w:type="dxa"/>
            <w:tcBorders/>
            <w:vAlign w:val="center"/>
          </w:tcPr>
          <w:p>
            <w:pPr>
              <w:pStyle w:val="TableContents"/>
              <w:bidi w:val="0"/>
              <w:spacing w:before="0" w:after="283"/>
              <w:ind w:left="0" w:right="0" w:hanging="360"/>
              <w:jc w:val="left"/>
              <w:rPr/>
            </w:pPr>
            <w:r>
              <w:rPr/>
              <w:t> </w:t>
            </w:r>
          </w:p>
        </w:tc>
      </w:tr>
      <w:tr>
        <w:trPr/>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8" w:type="dxa"/>
            <w:tcBorders/>
            <w:vAlign w:val="center"/>
          </w:tcPr>
          <w:p>
            <w:pPr>
              <w:pStyle w:val="TableContents"/>
              <w:bidi w:val="0"/>
              <w:spacing w:before="0" w:after="283"/>
              <w:ind w:left="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the applicable Rights and any rights agreement or other instrument governing such Rights are governed by the laws of the State of New York, when the terms of such Rights have been duly established and authorized by the Board and such Rights have been duly executed, issued and delivered against payment therefor in the manner contemplated by the Registration Statement, the applicable prospectus supplement and the applicable definitive agreements or instruments, such Rights will constitute legal, valid and binding obligations of the Company, enforceable against the Company in accordance with their terms.</w:t>
            </w:r>
          </w:p>
        </w:tc>
      </w:tr>
      <w:tr>
        <w:trPr/>
        <w:tc>
          <w:tcPr>
            <w:tcW w:w="147" w:type="dxa"/>
            <w:tcBorders/>
            <w:vAlign w:val="center"/>
          </w:tcPr>
          <w:p>
            <w:pPr>
              <w:pStyle w:val="TableContents"/>
              <w:bidi w:val="0"/>
              <w:spacing w:before="0" w:after="283"/>
              <w:jc w:val="left"/>
              <w:rPr>
                <w:caps w:val="false"/>
                <w:smallCaps w:val="false"/>
              </w:rPr>
            </w:pPr>
            <w:r>
              <w:rPr>
                <w:caps w:val="false"/>
                <w:smallCaps w:val="false"/>
              </w:rPr>
              <w:t> </w:t>
            </w:r>
          </w:p>
        </w:tc>
        <w:tc>
          <w:tcPr>
            <w:tcW w:w="10058" w:type="dxa"/>
            <w:tcBorders/>
            <w:vAlign w:val="center"/>
          </w:tcPr>
          <w:p>
            <w:pPr>
              <w:pStyle w:val="TableContents"/>
              <w:bidi w:val="0"/>
              <w:spacing w:before="0" w:after="283"/>
              <w:ind w:left="0" w:right="0" w:hanging="360"/>
              <w:jc w:val="left"/>
              <w:rPr/>
            </w:pPr>
            <w:r>
              <w:rPr/>
              <w:t> </w:t>
            </w:r>
          </w:p>
        </w:tc>
      </w:tr>
      <w:tr>
        <w:trPr/>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the applicable Units and any unit agreement or other instrument governing such Units are governed by the laws of the State of New York, when the terms of such Units have been duly established and authorized by the Board and such Units have been duly executed, issued and delivered against payment therefor in the manner contemplated by the Registration Statement, the applicable prospectus supplement and the applicable definitive agreements or instruments, such Units will constitute legal, valid and binding obligations of the Company, enforceable against the Company in accordance with their terms.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in paragraphs 3 through 6 above are subject to the effects of (i) bankruptcy, insolvency, reorganization, fraudulent transfer or conveyance, moratorium and other similar laws relating to or affecting creditors’ rights generally, (ii) general principles of equity, including concepts of materiality, reasonableness, good faith and fair dealing, whether considered in a proceeding in equity or at law, and (iii) limitations imposed by applicable law or public policy on the enforceability of provisions relating to indemnification, contribution, exculpation, waiver or limitation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opinions are issued as of the date hereof and are necessarily limited to the Applicable Laws and judicial decisions now in effect and the facts and circumstances known to us on the date hereof. We are not assuming any obligation to review or update these opinions should Applicable Laws, judicial decisions or the existing facts and circumstances change even if such changes may affect the opinions provided herein.</w:t>
      </w:r>
    </w:p>
    <w:p>
      <w:pPr>
        <w:pStyle w:val="TextBody"/>
        <w:bidi w:val="0"/>
        <w:spacing w:before="0" w:after="0"/>
        <w:ind w:left="648"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herein are limited to the matters expressly set forth herein and no opinion is to be implied or inferred beyond the matters expressly set forth herein. Specific assumptions, qualifications and limitations set forth herein shall not in any way limit or restrict the meaning of more general assumptions, qualifications and limitations set forth herein.</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submission of this opinion to the Commission as an exhibit to the Registration Statement. We hereby also consent to the reference to our firm under the caption “Legal Matters” in the Registration Statement. We do not admit in providing such consent that we are included within the category of persons whose consent is required under Section 7 of the Securities Act and the rules and regulations of the Commission thereunder.</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McCarter &amp; English, LLP</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MCCARTER &amp; ENGLISH, LLP</w:t>
      </w:r>
    </w:p>
    <w:p>
      <w:pPr>
        <w:pStyle w:val="TextBody"/>
        <w:bidi w:val="0"/>
        <w:ind w:left="36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right"/>
        <w:rPr>
          <w:b/>
        </w:rPr>
      </w:pPr>
      <w:bookmarkStart w:id="22" w:name="tm2623148d1_ex23-1.htm"/>
      <w:bookmarkStart w:id="23" w:name="kstm2623148d1_ex231"/>
      <w:bookmarkEnd w:id="22"/>
      <w:bookmarkEnd w:id="23"/>
      <w:r>
        <w:rPr>
          <w:b/>
        </w:rPr>
        <w:t>Exhibit 23.1</w:t>
      </w:r>
      <w:r>
        <w:br w:type="page"/>
      </w:r>
    </w:p>
    <w:p>
      <w:pPr>
        <w:pStyle w:val="TextBody"/>
        <w:bidi w:val="0"/>
        <w:jc w:val="left"/>
        <w:rPr/>
      </w:pPr>
      <w:r>
        <w:rPr/>
        <w:t> </w:t>
      </w:r>
    </w:p>
    <w:tbl>
      <w:tblPr>
        <w:tblW w:w="9950" w:type="dxa"/>
        <w:jc w:val="left"/>
        <w:tblInd w:w="0" w:type="dxa"/>
        <w:tblLayout w:type="fixed"/>
        <w:tblCellMar>
          <w:top w:w="0" w:type="dxa"/>
          <w:left w:w="0" w:type="dxa"/>
          <w:bottom w:w="0" w:type="dxa"/>
          <w:right w:w="0" w:type="dxa"/>
        </w:tblCellMar>
      </w:tblPr>
      <w:tblGrid>
        <w:gridCol w:w="960"/>
        <w:gridCol w:w="5990"/>
        <w:gridCol w:w="3000"/>
      </w:tblGrid>
      <w:tr>
        <w:trPr/>
        <w:tc>
          <w:tcPr>
            <w:tcW w:w="960" w:type="dxa"/>
            <w:tcBorders/>
            <w:vAlign w:val="center"/>
          </w:tcPr>
          <w:p>
            <w:pPr>
              <w:pStyle w:val="TableContents"/>
              <w:bidi w:val="0"/>
              <w:spacing w:before="0" w:after="283"/>
              <w:jc w:val="left"/>
              <w:rPr/>
            </w:pPr>
            <w:r>
              <w:rPr/>
              <w:drawing>
                <wp:inline distT="0" distB="0" distL="0" distR="0">
                  <wp:extent cx="561975" cy="514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561975" cy="514350"/>
                          </a:xfrm>
                          <a:prstGeom prst="rect">
                            <a:avLst/>
                          </a:prstGeom>
                        </pic:spPr>
                      </pic:pic>
                    </a:graphicData>
                  </a:graphic>
                </wp:inline>
              </w:drawing>
            </w:r>
            <w:r>
              <w:rPr/>
              <w:t> </w:t>
            </w:r>
          </w:p>
        </w:tc>
        <w:tc>
          <w:tcPr>
            <w:tcW w:w="5990" w:type="dxa"/>
            <w:tcBorders/>
            <w:vAlign w:val="center"/>
          </w:tcPr>
          <w:p>
            <w:pPr>
              <w:pStyle w:val="TableContents"/>
              <w:bidi w:val="0"/>
              <w:spacing w:before="0" w:after="283"/>
              <w:jc w:val="left"/>
              <w:rPr>
                <w:sz w:val="20"/>
              </w:rPr>
            </w:pPr>
            <w:r>
              <w:rPr>
                <w:rFonts w:ascii="Times New Roman;Times;Serif" w:hAnsi="Times New Roman;Times;Serif"/>
                <w:color w:val="0000FF"/>
                <w:sz w:val="48"/>
              </w:rPr>
              <w:t>AUDIT ALLIANCE LLP</w:t>
            </w:r>
            <w:r>
              <w:rPr>
                <w:rFonts w:ascii="Times New Roman;Times;Serif" w:hAnsi="Times New Roman;Times;Serif"/>
                <w:b/>
                <w:color w:val="0000FF"/>
                <w:position w:val="9"/>
                <w:sz w:val="22"/>
                <w:sz w:val="28"/>
              </w:rPr>
              <w:t>®</w:t>
            </w:r>
          </w:p>
        </w:tc>
        <w:tc>
          <w:tcPr>
            <w:tcW w:w="3000" w:type="dxa"/>
            <w:tcBorders/>
            <w:vAlign w:val="center"/>
          </w:tcPr>
          <w:p>
            <w:pPr>
              <w:pStyle w:val="TableContents"/>
              <w:bidi w:val="0"/>
              <w:spacing w:before="0" w:after="283"/>
              <w:jc w:val="left"/>
              <w:rPr/>
            </w:pPr>
            <w:r>
              <w:rPr/>
              <w:drawing>
                <wp:inline distT="0" distB="0" distL="0" distR="0">
                  <wp:extent cx="1857375" cy="466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9"/>
                          <a:stretch>
                            <a:fillRect/>
                          </a:stretch>
                        </pic:blipFill>
                        <pic:spPr bwMode="auto">
                          <a:xfrm>
                            <a:off x="0" y="0"/>
                            <a:ext cx="1857375" cy="466725"/>
                          </a:xfrm>
                          <a:prstGeom prst="rect">
                            <a:avLst/>
                          </a:prstGeom>
                        </pic:spPr>
                      </pic:pic>
                    </a:graphicData>
                  </a:graphic>
                </wp:inline>
              </w:drawing>
            </w:r>
            <w:r>
              <w:rPr/>
              <w:t> </w:t>
            </w:r>
          </w:p>
        </w:tc>
      </w:tr>
      <w:tr>
        <w:trPr/>
        <w:tc>
          <w:tcPr>
            <w:tcW w:w="9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color w:val="3333FF"/>
                <w:sz w:val="20"/>
              </w:rPr>
            </w:pPr>
            <w:r>
              <w:rPr>
                <w:rFonts w:ascii="Times New Roman;Times;Serif" w:hAnsi="Times New Roman;Times;Serif"/>
                <w:b w:val="false"/>
                <w:i w:val="false"/>
                <w:caps w:val="false"/>
                <w:smallCaps w:val="false"/>
                <w:color w:val="3333FF"/>
                <w:sz w:val="20"/>
              </w:rPr>
              <w:t>A Top 18 Audit Firm</w:t>
            </w:r>
          </w:p>
          <w:p>
            <w:pPr>
              <w:pStyle w:val="TableContents"/>
              <w:bidi w:val="0"/>
              <w:spacing w:before="0" w:after="0"/>
              <w:ind w:left="0" w:right="0" w:hanging="0"/>
              <w:jc w:val="left"/>
              <w:rPr>
                <w:rFonts w:ascii="Times New Roman;Times;Serif" w:hAnsi="Times New Roman;Times;Serif"/>
                <w:b w:val="false"/>
                <w:i w:val="false"/>
                <w:caps w:val="false"/>
                <w:smallCaps w:val="false"/>
                <w:color w:val="3333FF"/>
                <w:sz w:val="22"/>
              </w:rPr>
            </w:pPr>
            <w:r>
              <w:rPr>
                <w:rFonts w:ascii="Times New Roman;Times;Serif" w:hAnsi="Times New Roman;Times;Serif"/>
                <w:b w:val="false"/>
                <w:i w:val="false"/>
                <w:caps w:val="false"/>
                <w:smallCaps w:val="false"/>
                <w:color w:val="3333FF"/>
                <w:sz w:val="22"/>
              </w:rPr>
              <w:t>10 Anson Road, #20-16 International Plaza, Singapore 079903.</w:t>
            </w:r>
          </w:p>
        </w:tc>
        <w:tc>
          <w:tcPr>
            <w:tcW w:w="30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8000"/>
          <w:sz w:val="20"/>
        </w:rPr>
        <w:t>UEN: T12LL1223B GST Reg No: M90367663E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333FF"/>
          <w:sz w:val="20"/>
        </w:rPr>
        <w:t>Tel: (65) 6227 5428</w:t>
      </w:r>
    </w:p>
    <w:p>
      <w:pPr>
        <w:pStyle w:val="TextBody"/>
        <w:bidi w:val="0"/>
        <w:ind w:left="0" w:right="0" w:hanging="0"/>
        <w:jc w:val="both"/>
        <w:rPr>
          <w:caps w:val="false"/>
          <w:smallCaps w:val="false"/>
          <w:color w:val="0000FF"/>
        </w:rPr>
      </w:pPr>
      <w:r>
        <w:rPr>
          <w:caps w:val="false"/>
          <w:smallCaps w:val="false"/>
          <w:color w:val="0000FF"/>
        </w:rPr>
        <w:t> </w:t>
      </w:r>
    </w:p>
    <w:p>
      <w:pPr>
        <w:pStyle w:val="TextBody"/>
        <w:bidi w:val="0"/>
        <w:ind w:left="0" w:right="0" w:hanging="0"/>
        <w:jc w:val="both"/>
        <w:rPr>
          <w:rFonts w:ascii="Times New Roman;Times;Serif" w:hAnsi="Times New Roman;Times;Serif"/>
          <w:b/>
          <w:i w:val="false"/>
          <w:caps w:val="false"/>
          <w:smallCaps w:val="false"/>
          <w:color w:val="0000FF"/>
          <w:sz w:val="20"/>
        </w:rPr>
      </w:pPr>
      <w:r>
        <w:rPr>
          <w:rFonts w:ascii="Times New Roman;Times;Serif" w:hAnsi="Times New Roman;Times;Serif"/>
          <w:b/>
          <w:i w:val="false"/>
          <w:caps w:val="false"/>
          <w:smallCaps w:val="false"/>
          <w:color w:val="0000FF"/>
          <w:sz w:val="20"/>
        </w:rPr>
        <w:t xml:space="preserve">Website: </w:t>
      </w:r>
      <w:r>
        <w:rPr>
          <w:rFonts w:ascii="Times New Roman;Times;Serif" w:hAnsi="Times New Roman;Times;Serif"/>
          <w:b/>
          <w:i w:val="false"/>
          <w:caps w:val="false"/>
          <w:smallCaps w:val="false"/>
          <w:color w:val="0000FF"/>
          <w:sz w:val="20"/>
          <w:u w:val="single"/>
        </w:rPr>
        <w:t>www.allianceaudit.com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on Form S-3 of our report dated February 27, 2026, with respect to the consolidated financial statements of Elite Express Holding, Inc. as of November 30, 2025 and for the year ended November 30, 2025, which appears in the annual report on Form 10-K of Elite Express Holding, Inc. for the year ended November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828925" cy="295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0"/>
                    <a:stretch>
                      <a:fillRect/>
                    </a:stretch>
                  </pic:blipFill>
                  <pic:spPr bwMode="auto">
                    <a:xfrm>
                      <a:off x="0" y="0"/>
                      <a:ext cx="2828925" cy="2952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1160"/>
        <w:gridCol w:w="2660"/>
        <w:gridCol w:w="2255"/>
      </w:tblGrid>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Enrome LLP</w:t>
            </w:r>
          </w:p>
        </w:tc>
        <w:tc>
          <w:tcPr>
            <w:tcW w:w="26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Cecil Street #19-03/04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GB Building, Singapore 069542</w:t>
            </w:r>
          </w:p>
        </w:tc>
        <w:tc>
          <w:tcPr>
            <w:tcW w:w="22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admin@enrome-group.com</w:t>
              <w:br/>
              <w:t>www.enrome-group.com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both"/>
        <w:rPr>
          <w:caps w:val="false"/>
          <w:smallCaps w:val="false"/>
        </w:rPr>
      </w:pPr>
      <w:r>
        <w:rPr>
          <w:caps w:val="false"/>
          <w:smallCaps w:val="false"/>
        </w:rPr>
        <w:t> </w:t>
      </w:r>
    </w:p>
    <w:p>
      <w:pPr>
        <w:pStyle w:val="TextBody"/>
        <w:bidi w:val="0"/>
        <w:jc w:val="right"/>
        <w:rPr>
          <w:b/>
        </w:rPr>
      </w:pPr>
      <w:bookmarkStart w:id="24" w:name="tm2623148d1_ex23-2.htm"/>
      <w:bookmarkStart w:id="25" w:name="kstm2623148d1_ex232"/>
      <w:bookmarkEnd w:id="24"/>
      <w:bookmarkEnd w:id="25"/>
      <w:r>
        <w:rPr>
          <w:b/>
        </w:rPr>
        <w:t>Exhibit 23.2</w:t>
      </w:r>
      <w:r>
        <w:br w:type="page"/>
      </w:r>
    </w:p>
    <w:p>
      <w:pPr>
        <w:pStyle w:val="TextBody"/>
        <w:bidi w:val="0"/>
        <w:jc w:val="left"/>
        <w:rPr/>
      </w:pPr>
      <w:r>
        <w:rPr/>
        <w:t> </w:t>
      </w:r>
    </w:p>
    <w:p>
      <w:pPr>
        <w:pStyle w:val="TextBody"/>
        <w:bidi w:val="0"/>
        <w:jc w:val="left"/>
        <w:rPr/>
      </w:pPr>
      <w:r>
        <w:rPr/>
        <w:drawing>
          <wp:inline distT="0" distB="0" distL="0" distR="0">
            <wp:extent cx="1933575" cy="1171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1"/>
                    <a:stretch>
                      <a:fillRect/>
                    </a:stretch>
                  </pic:blipFill>
                  <pic:spPr bwMode="auto">
                    <a:xfrm>
                      <a:off x="0" y="0"/>
                      <a:ext cx="1933575" cy="1171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hereby consent to the incorporation by reference in the Registration Statement of </w:t>
      </w:r>
      <w:r>
        <w:rPr>
          <w:rFonts w:ascii="Times New Roman;Times;Serif" w:hAnsi="Times New Roman;Times;Serif"/>
          <w:b/>
          <w:i w:val="false"/>
          <w:caps w:val="false"/>
          <w:smallCaps w:val="false"/>
          <w:sz w:val="20"/>
        </w:rPr>
        <w:t>Elite Express Holding Inc.</w:t>
      </w:r>
      <w:r>
        <w:rPr>
          <w:rFonts w:ascii="Times New Roman;Times;Serif" w:hAnsi="Times New Roman;Times;Serif"/>
          <w:b w:val="false"/>
          <w:i w:val="false"/>
          <w:caps w:val="false"/>
          <w:smallCaps w:val="false"/>
          <w:sz w:val="20"/>
        </w:rPr>
        <w:t xml:space="preserve"> and its subsidiaries (the ”Company”), on Form S-3, of our report dated February 20, 2025, except for Notes 4, 7, 12 and 14 as to which the date is April 3, 2025, and Notes 8 and 9 as to which the date is May 5, 2025 relating to our audits of the consolidated balance sheet of the Company as of November 30, 2024 (Successor Company) and balance sheet of Jar Transportation Inc. as of November 30, 2023 (Predecessor Company), the related consolidated statements of operations, changes in stockholders’ equity (deficit), and cash flows for the period from October 26, 2024 to November 30, 2024 (Successor Company), for the period from December 1, 2023 to October 25, 2024 (Predecessor Company), and for the year ended November 30, 2023 (Predecessor Company), appearing in the Prospectus and included as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in the Prospectus, which forms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Golden Eagle CPAs LLC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Bedminster, New Jersey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6" w:name="tm2623148d1_ex-filingfees.htm"/>
      <w:bookmarkStart w:id="27" w:name="kstm2623148d1_exfilingfees"/>
      <w:bookmarkStart w:id="28" w:name="tm2623148d1_ex-filingfees.htm"/>
      <w:bookmarkStart w:id="29" w:name="kstm2623148d1_exfilingfees"/>
      <w:bookmarkEnd w:id="28"/>
      <w:bookmarkEnd w:id="29"/>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Elite Express Holding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989" w:type="dxa"/>
        <w:jc w:val="left"/>
        <w:tblInd w:w="0" w:type="dxa"/>
        <w:tblLayout w:type="fixed"/>
        <w:tblCellMar>
          <w:top w:w="28" w:type="dxa"/>
          <w:left w:w="28" w:type="dxa"/>
          <w:bottom w:w="28" w:type="dxa"/>
          <w:right w:w="28" w:type="dxa"/>
        </w:tblCellMar>
      </w:tblPr>
      <w:tblGrid>
        <w:gridCol w:w="1126"/>
        <w:gridCol w:w="226"/>
        <w:gridCol w:w="1246"/>
        <w:gridCol w:w="1126"/>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2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98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126" w:type="dxa"/>
            <w:tcBorders/>
            <w:shd w:fill="E7E7E2" w:val="clear"/>
            <w:vAlign w:val="center"/>
          </w:tcPr>
          <w:p>
            <w:pPr>
              <w:pStyle w:val="TableContents"/>
              <w:bidi w:val="0"/>
              <w:spacing w:before="0" w:after="283"/>
              <w:jc w:val="left"/>
              <w:rPr/>
            </w:pPr>
            <w:r>
              <w:rPr/>
              <w:t xml:space="preserve">Class A Common Stock, par value $0.000001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126" w:type="dxa"/>
            <w:tcBorders/>
            <w:shd w:fill="E7E7E2" w:val="clear"/>
            <w:vAlign w:val="center"/>
          </w:tcPr>
          <w:p>
            <w:pPr>
              <w:pStyle w:val="TableContents"/>
              <w:bidi w:val="0"/>
              <w:spacing w:before="0" w:after="283"/>
              <w:jc w:val="left"/>
              <w:rPr/>
            </w:pPr>
            <w:r>
              <w:rPr/>
              <w:t xml:space="preserve">Preferred Stock, par value $0.000001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126"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126"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126" w:type="dxa"/>
            <w:tcBorders/>
            <w:shd w:fill="E7E7E2" w:val="clear"/>
            <w:vAlign w:val="center"/>
          </w:tcPr>
          <w:p>
            <w:pPr>
              <w:pStyle w:val="TableContents"/>
              <w:bidi w:val="0"/>
              <w:spacing w:before="0" w:after="283"/>
              <w:jc w:val="left"/>
              <w:rPr/>
            </w:pPr>
            <w:r>
              <w:rPr/>
              <w:t xml:space="preserve">Rights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126"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$ 41,430.00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98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0" w:name="MaxAggtOfferingPrice"/>
            <w:bookmarkEnd w:id="30"/>
            <w:r>
              <w:rPr/>
              <w:t xml:space="preserve">$ 300,000,000.00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1" w:name="TotalFeeAmt"/>
            <w:bookmarkEnd w:id="31"/>
            <w:r>
              <w:rPr/>
              <w:t xml:space="preserve">$ 41,430.00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 w:name="TotalPreviouslyPaid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3" w:name="TotalOffsetAmt"/>
            <w:bookmarkEnd w:id="3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NetFeeAmt"/>
            <w:bookmarkEnd w:id="34"/>
            <w:r>
              <w:rPr/>
              <w:t xml:space="preserve">$ 41,430.00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4"/>
        <w:gridCol w:w="8713"/>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There are being registered hereunder such indeterminate number of shares of Class A Common Stock, such indeterminate number of shares of Preferred Stock, such indeterminate principal amount of Debt Securities, such indeterminate number of Warrants to purchase Class A Common Stock, Preferred Stock or Debt Securities, such indeterminate number of Rights and such indeterminate number of Units representing an interest in two or more securities, which may or may not be separable from one another, as shall have an aggregate initial offering price not to exceed $300,000,000. If any Debt Securities are issued at an original issue discount, then the principal amount of such Debt Securities shall be in such greater amount as shall result in an aggregate initial offering price not to exceed $300,000,000, less the aggregate dollar amount of all securities previously issued hereunder. The securities registered also include such indeterminate number or amount of securities as may be issued upon conversion of or exchange for securities that provide for conversion or exchange, upon exercise of securities or pursuant to the antidilution provisions of any such securities. In addition, pursuant to Rule 416 under the Securities Act of 1933, as amended (the "Securities Act"), the securities being registered hereunder include such indeterminate number of securities as may be issuable with respect to the securities being registered hereunder as a result of stock splits, stock dividends or similar transactions. 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 2.A.iii.b. to the Calculation of Filing Fee Tables and Related Disclosure on Item 16(b) of Form S-3 under the Securities Act. Calculated pursuant to Rule 457(o) under the Securities Act based on the maximum aggregate offering price.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2053641/000110465926021557/ets-20251130x10k.htm" TargetMode="External"/><Relationship Id="rId4" Type="http://schemas.openxmlformats.org/officeDocument/2006/relationships/hyperlink" Target="https://www.sec.gov/ix?doc=/Archives/edgar/data/2053641/000110465926029622/tm269114d1_10ka.htm" TargetMode="External"/><Relationship Id="rId5" Type="http://schemas.openxmlformats.org/officeDocument/2006/relationships/hyperlink" Target="https://www.sec.gov/ix?doc=/Archives/edgar/data/2053641/000110465926042622/ets-20260228x10q.htm" TargetMode="External"/><Relationship Id="rId6" Type="http://schemas.openxmlformats.org/officeDocument/2006/relationships/hyperlink" Target="https://www.sec.gov/ix?doc=/Archives/edgar/data/2053641/000110465926083496/ets-20260531x10q.htm" TargetMode="External"/><Relationship Id="rId7" Type="http://schemas.openxmlformats.org/officeDocument/2006/relationships/hyperlink" Target="https://www.sec.gov/ix?doc=/Archives/edgar/data/2053641/000110465925118576/tm2532776d1_8k.htm" TargetMode="External"/><Relationship Id="rId8" Type="http://schemas.openxmlformats.org/officeDocument/2006/relationships/hyperlink" Target="https://www.sec.gov/ix?doc=/Archives/edgar/data/2053641/000110465925121582/tm2533636d1_8k.htm" TargetMode="External"/><Relationship Id="rId9" Type="http://schemas.openxmlformats.org/officeDocument/2006/relationships/hyperlink" Target="https://www.sec.gov/ix?doc=/Archives/edgar/data/2053641/000110465926026391/tm268578d1_8k.htm" TargetMode="External"/><Relationship Id="rId10" Type="http://schemas.openxmlformats.org/officeDocument/2006/relationships/hyperlink" Target="https://www.sec.gov/ix?doc=/Archives/edgar/data/2053641/000110465926052916/tm2613257d1_8k.htm" TargetMode="External"/><Relationship Id="rId11" Type="http://schemas.openxmlformats.org/officeDocument/2006/relationships/hyperlink" Target="https://www.sec.gov/ix?doc=/Archives/edgar/data/2053641/000110465926071441/tm2617088d1_8k.htm" TargetMode="External"/><Relationship Id="rId12" Type="http://schemas.openxmlformats.org/officeDocument/2006/relationships/hyperlink" Target="https://www.sec.gov/ix?doc=/Archives/edgar/data/2053641/000110465926092685/tm2622514d1_8k.htm" TargetMode="External"/><Relationship Id="rId13" Type="http://schemas.openxmlformats.org/officeDocument/2006/relationships/hyperlink" Target="https://www.sec.gov/Archives/edgar/data/2053641/000110465925080758/tm254980d13_8a12b.htm" TargetMode="External"/><Relationship Id="rId14" Type="http://schemas.openxmlformats.org/officeDocument/2006/relationships/hyperlink" Target="http://www.sec.gov/Archives/edgar/data/2053641/000110465925044357/tm254980d4_ex3-1.htm" TargetMode="External"/><Relationship Id="rId15" Type="http://schemas.openxmlformats.org/officeDocument/2006/relationships/hyperlink" Target="https://www.sec.gov/Archives/edgar/data/2053641/000110465925044357/tm254980d4_ex3-2.htm" TargetMode="External"/><Relationship Id="rId16" Type="http://schemas.openxmlformats.org/officeDocument/2006/relationships/hyperlink" Target="https://www.sec.gov/Archives/edgar/data/2053641/000110465925044357/tm254980d4_ex4-1.htm" TargetMode="External"/><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16474</Words>
  <Characters>87012</Characters>
  <CharactersWithSpaces>103458</CharactersWithSpaces>
  <Paragraphs>1334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