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No.1)</w:t>
      </w:r>
    </w:p>
    <w:p>
      <w:pPr>
        <w:spacing w:after="0" w:line="203" w:lineRule="exact"/>
        <w:rPr>
          <w:sz w:val="24"/>
          <w:szCs w:val="24"/>
          <w:color w:val="auto"/>
        </w:rPr>
      </w:pPr>
    </w:p>
    <w:p>
      <w:pPr>
        <w:jc w:val="center"/>
        <w:ind w:right="60"/>
        <w:spacing w:after="0" w:line="286" w:lineRule="auto"/>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b w:val="1"/>
          <w:bCs w:val="1"/>
          <w:color w:val="auto"/>
        </w:rPr>
        <w:t>ANNUAL REPORT PURSUANT TO SECTION 13 OR 15(d) OF THE SECURITIES EXCHANGE ACT OF 1934</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b w:val="1"/>
          <w:bCs w:val="1"/>
          <w:color w:val="auto"/>
        </w:rPr>
        <w:t>For the fiscal year ended November 30, 2025</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1120" w:hanging="201"/>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408"/>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4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001-42811</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58"/>
        </w:trPr>
        <w:tc>
          <w:tcPr>
            <w:tcW w:w="3620" w:type="dxa"/>
            <w:vAlign w:val="bottom"/>
          </w:tcPr>
          <w:p>
            <w:pPr>
              <w:spacing w:after="0"/>
              <w:rPr>
                <w:sz w:val="24"/>
                <w:szCs w:val="24"/>
                <w:color w:val="auto"/>
              </w:rPr>
            </w:pPr>
          </w:p>
        </w:tc>
        <w:tc>
          <w:tcPr>
            <w:tcW w:w="7620" w:type="dxa"/>
            <w:vAlign w:val="bottom"/>
            <w:gridSpan w:val="7"/>
          </w:tcPr>
          <w:p>
            <w:pPr>
              <w:jc w:val="center"/>
              <w:ind w:right="3530"/>
              <w:spacing w:after="0"/>
              <w:rPr>
                <w:sz w:val="20"/>
                <w:szCs w:val="20"/>
                <w:color w:val="auto"/>
              </w:rPr>
            </w:pPr>
            <w:r>
              <w:rPr>
                <w:rFonts w:ascii="Times New Roman" w:cs="Times New Roman" w:eastAsia="Times New Roman" w:hAnsi="Times New Roman"/>
                <w:sz w:val="32"/>
                <w:szCs w:val="32"/>
                <w:b w:val="1"/>
                <w:bCs w:val="1"/>
                <w:color w:val="auto"/>
              </w:rPr>
              <w:t>Elite Express Holding Inc.</w:t>
            </w:r>
          </w:p>
        </w:tc>
      </w:tr>
      <w:tr>
        <w:trPr>
          <w:trHeight w:val="238"/>
        </w:trPr>
        <w:tc>
          <w:tcPr>
            <w:tcW w:w="3620" w:type="dxa"/>
            <w:vAlign w:val="bottom"/>
          </w:tcPr>
          <w:p>
            <w:pPr>
              <w:spacing w:after="0"/>
              <w:rPr>
                <w:sz w:val="20"/>
                <w:szCs w:val="20"/>
                <w:color w:val="auto"/>
              </w:rPr>
            </w:pPr>
          </w:p>
        </w:tc>
        <w:tc>
          <w:tcPr>
            <w:tcW w:w="7620" w:type="dxa"/>
            <w:vAlign w:val="bottom"/>
            <w:gridSpan w:val="7"/>
          </w:tcPr>
          <w:p>
            <w:pPr>
              <w:jc w:val="center"/>
              <w:ind w:right="351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432"/>
        </w:trPr>
        <w:tc>
          <w:tcPr>
            <w:tcW w:w="3620" w:type="dxa"/>
            <w:vAlign w:val="bottom"/>
            <w:tcBorders>
              <w:bottom w:val="single" w:sz="8" w:color="auto"/>
            </w:tcBorders>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3"/>
          </w:tcPr>
          <w:p>
            <w:pPr>
              <w:jc w:val="center"/>
              <w:ind w:right="1250"/>
              <w:spacing w:after="0"/>
              <w:rPr>
                <w:sz w:val="20"/>
                <w:szCs w:val="20"/>
                <w:color w:val="auto"/>
              </w:rPr>
            </w:pPr>
            <w:r>
              <w:rPr>
                <w:rFonts w:ascii="Times New Roman" w:cs="Times New Roman" w:eastAsia="Times New Roman" w:hAnsi="Times New Roman"/>
                <w:sz w:val="18"/>
                <w:szCs w:val="18"/>
                <w:b w:val="1"/>
                <w:bCs w:val="1"/>
                <w:color w:val="auto"/>
                <w:w w:val="98"/>
              </w:rPr>
              <w:t>99-2516128</w:t>
            </w:r>
          </w:p>
        </w:tc>
      </w:tr>
      <w:tr>
        <w:trPr>
          <w:trHeight w:val="187"/>
        </w:trPr>
        <w:tc>
          <w:tcPr>
            <w:tcW w:w="5520" w:type="dxa"/>
            <w:vAlign w:val="bottom"/>
            <w:gridSpan w:val="3"/>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0" w:type="dxa"/>
            <w:vAlign w:val="bottom"/>
          </w:tcPr>
          <w:p>
            <w:pPr>
              <w:jc w:val="center"/>
              <w:ind w:right="18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7080" w:type="dxa"/>
            <w:vAlign w:val="bottom"/>
            <w:gridSpan w:val="5"/>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0" w:type="dxa"/>
            <w:vAlign w:val="bottom"/>
            <w:gridSpan w:val="6"/>
          </w:tcPr>
          <w:p>
            <w:pPr>
              <w:jc w:val="center"/>
              <w:ind w:right="3730"/>
              <w:spacing w:after="0"/>
              <w:rPr>
                <w:sz w:val="20"/>
                <w:szCs w:val="20"/>
                <w:color w:val="auto"/>
              </w:rPr>
            </w:pPr>
            <w:r>
              <w:rPr>
                <w:rFonts w:ascii="Times New Roman" w:cs="Times New Roman" w:eastAsia="Times New Roman" w:hAnsi="Times New Roman"/>
                <w:sz w:val="18"/>
                <w:szCs w:val="18"/>
                <w:b w:val="1"/>
                <w:bCs w:val="1"/>
                <w:color w:val="auto"/>
                <w:w w:val="99"/>
              </w:rPr>
              <w:t>23046 Avenida De La Carlota, Suite 600</w:t>
            </w:r>
          </w:p>
        </w:tc>
      </w:tr>
      <w:tr>
        <w:trPr>
          <w:trHeight w:val="220"/>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4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Laguna Hills, CA 92653</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234"/>
        </w:trPr>
        <w:tc>
          <w:tcPr>
            <w:tcW w:w="3620" w:type="dxa"/>
            <w:vAlign w:val="bottom"/>
          </w:tcPr>
          <w:p>
            <w:pPr>
              <w:spacing w:after="0"/>
              <w:rPr>
                <w:sz w:val="20"/>
                <w:szCs w:val="20"/>
                <w:color w:val="auto"/>
              </w:rPr>
            </w:pPr>
          </w:p>
        </w:tc>
        <w:tc>
          <w:tcPr>
            <w:tcW w:w="7620" w:type="dxa"/>
            <w:vAlign w:val="bottom"/>
            <w:gridSpan w:val="7"/>
          </w:tcPr>
          <w:p>
            <w:pPr>
              <w:jc w:val="center"/>
              <w:ind w:right="351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r>
      <w:tr>
        <w:trPr>
          <w:trHeight w:val="414"/>
        </w:trPr>
        <w:tc>
          <w:tcPr>
            <w:tcW w:w="3620" w:type="dxa"/>
            <w:vAlign w:val="bottom"/>
          </w:tcPr>
          <w:p>
            <w:pPr>
              <w:spacing w:after="0"/>
              <w:rPr>
                <w:sz w:val="24"/>
                <w:szCs w:val="24"/>
                <w:color w:val="auto"/>
              </w:rPr>
            </w:pPr>
          </w:p>
        </w:tc>
        <w:tc>
          <w:tcPr>
            <w:tcW w:w="3460" w:type="dxa"/>
            <w:vAlign w:val="bottom"/>
            <w:gridSpan w:val="4"/>
          </w:tcPr>
          <w:p>
            <w:pPr>
              <w:jc w:val="center"/>
              <w:ind w:left="396"/>
              <w:spacing w:after="0"/>
              <w:rPr>
                <w:sz w:val="20"/>
                <w:szCs w:val="20"/>
                <w:color w:val="auto"/>
              </w:rPr>
            </w:pPr>
            <w:r>
              <w:rPr>
                <w:rFonts w:ascii="Times New Roman" w:cs="Times New Roman" w:eastAsia="Times New Roman" w:hAnsi="Times New Roman"/>
                <w:sz w:val="18"/>
                <w:szCs w:val="18"/>
                <w:b w:val="1"/>
                <w:bCs w:val="1"/>
                <w:color w:val="auto"/>
                <w:w w:val="99"/>
              </w:rPr>
              <w:t>(949) 758-0650</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7620" w:type="dxa"/>
            <w:vAlign w:val="bottom"/>
            <w:gridSpan w:val="7"/>
          </w:tcPr>
          <w:p>
            <w:pPr>
              <w:jc w:val="center"/>
              <w:ind w:right="35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32"/>
        </w:trPr>
        <w:tc>
          <w:tcPr>
            <w:tcW w:w="7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2"/>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0" w:type="dxa"/>
            <w:vAlign w:val="bottom"/>
          </w:tcPr>
          <w:p>
            <w:pPr>
              <w:spacing w:after="0"/>
              <w:rPr>
                <w:sz w:val="24"/>
                <w:szCs w:val="24"/>
                <w:color w:val="auto"/>
              </w:rPr>
            </w:pPr>
          </w:p>
        </w:tc>
        <w:tc>
          <w:tcPr>
            <w:tcW w:w="3240" w:type="dxa"/>
            <w:vAlign w:val="bottom"/>
            <w:tcBorders>
              <w:bottom w:val="single" w:sz="8" w:color="auto"/>
            </w:tcBorders>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w:t>
            </w:r>
          </w:p>
        </w:tc>
        <w:tc>
          <w:tcPr>
            <w:tcW w:w="220" w:type="dxa"/>
            <w:vAlign w:val="bottom"/>
          </w:tcPr>
          <w:p>
            <w:pPr>
              <w:spacing w:after="0"/>
              <w:rPr>
                <w:sz w:val="19"/>
                <w:szCs w:val="19"/>
                <w:color w:val="auto"/>
              </w:rPr>
            </w:pPr>
          </w:p>
        </w:tc>
        <w:tc>
          <w:tcPr>
            <w:tcW w:w="32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ETS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63" w:lineRule="exact"/>
        <w:rPr>
          <w:sz w:val="24"/>
          <w:szCs w:val="24"/>
          <w:color w:val="auto"/>
        </w:rPr>
      </w:pPr>
    </w:p>
    <w:p>
      <w:pPr>
        <w:ind w:right="1600"/>
        <w:spacing w:after="0" w:line="300"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406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4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Layout w:type="fixed"/>
        <w:tblInd w:w="10" w:type="dxa"/>
        <w:tblCellMar>
          <w:top w:w="0" w:type="dxa"/>
          <w:left w:w="0" w:type="dxa"/>
          <w:bottom w:w="0" w:type="dxa"/>
          <w:right w:w="0" w:type="dxa"/>
        </w:tblCellMar>
      </w:tblPr>
      <w:tr>
        <w:trPr>
          <w:trHeight w:val="190"/>
        </w:trPr>
        <w:tc>
          <w:tcPr>
            <w:tcW w:w="5640" w:type="dxa"/>
            <w:vAlign w:val="bottom"/>
            <w:tcBorders>
              <w:top w:val="single" w:sz="8" w:color="auto"/>
              <w:left w:val="single" w:sz="8" w:color="auto"/>
              <w:bottom w:val="single" w:sz="8" w:color="auto"/>
              <w:right w:val="single" w:sz="8" w:color="auto"/>
            </w:tcBorders>
          </w:tcPr>
          <w:p>
            <w:pPr>
              <w:ind w:left="20"/>
              <w:spacing w:after="0" w:line="190"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5600" w:type="dxa"/>
            <w:vAlign w:val="bottom"/>
            <w:tcBorders>
              <w:top w:val="single" w:sz="8" w:color="auto"/>
              <w:bottom w:val="single" w:sz="8" w:color="auto"/>
              <w:right w:val="single" w:sz="8" w:color="auto"/>
            </w:tcBorders>
          </w:tcPr>
          <w:p>
            <w:pPr>
              <w:spacing w:after="0" w:line="190"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r>
      <w:tr>
        <w:trPr>
          <w:trHeight w:val="210"/>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Non-accelerated filer </w:t>
            </w:r>
            <w:r>
              <w:rPr>
                <w:rFonts w:ascii="Wingdings" w:cs="Wingdings" w:eastAsia="Wingdings" w:hAnsi="Wingdings"/>
                <w:sz w:val="18"/>
                <w:szCs w:val="18"/>
                <w:b w:val="1"/>
                <w:bCs w:val="1"/>
                <w:color w:val="auto"/>
              </w:rPr>
              <w:t>x</w:t>
            </w:r>
          </w:p>
        </w:tc>
        <w:tc>
          <w:tcPr>
            <w:tcW w:w="5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Smaller reporting company </w:t>
            </w:r>
            <w:r>
              <w:rPr>
                <w:rFonts w:ascii="Wingdings" w:cs="Wingdings" w:eastAsia="Wingdings" w:hAnsi="Wingdings"/>
                <w:sz w:val="18"/>
                <w:szCs w:val="18"/>
                <w:b w:val="1"/>
                <w:bCs w:val="1"/>
                <w:color w:val="auto"/>
              </w:rPr>
              <w:t>x</w:t>
            </w:r>
          </w:p>
        </w:tc>
      </w:tr>
      <w:tr>
        <w:trPr>
          <w:trHeight w:val="209"/>
        </w:trPr>
        <w:tc>
          <w:tcPr>
            <w:tcW w:w="5640" w:type="dxa"/>
            <w:vAlign w:val="bottom"/>
            <w:tcBorders>
              <w:left w:val="single" w:sz="8" w:color="auto"/>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tc>
      </w:tr>
    </w:tbl>
    <w:p>
      <w:pPr>
        <w:spacing w:after="0" w:line="7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3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3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common equity held by non-affiliates of the registrant was $2,420,601 based upon the market price of $0.494 per share on February 26, 2026. As of February 26, 2026, 12,550,005 shares of Class A common stock, par value $0.000001 per share, were issued and outstanding.</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104"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February 26, 2026, the number of shares of the registrant’s Class A common stock and Class B common stock outstanding was 12,550,005 and 4,166,667, respectively.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DOCUMENTS INCORPORATED BY REFERENCE: None</w:t>
      </w:r>
    </w:p>
    <w:p>
      <w:pPr>
        <w:sectPr>
          <w:pgSz w:w="11900" w:h="16838" w:orient="portrait"/>
          <w:cols w:equalWidth="0" w:num="1">
            <w:col w:w="11240"/>
          </w:cols>
          <w:pgMar w:left="320" w:top="779" w:right="339"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Elite Express Holding Inc. (together with its subsidiaries, the “Company” sometimes referred to as “we”, “us” or “our”) is filing this Amendment No. 1 (“Amendment No. 1” or “Form 10-K/A”) to its Annual Report on Form 10-K for the period ended November 30, 2025, originally filed on February 27, 2026 (the “Original Form 10-K”), solely to include Exhibit 97.1 to the Form 10-K/A, the Elite Express Holding Inc. Incentive Compensation Recovery Policy adopted on May 2, 2025, which was inadvertently omitted. There are no other changes to the Original Form 10-K.</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Form 10-K/A speaks as of the original filing date of the Original Form 10-K, does not reflect events that may have occurred subsequent to the original filing date, and does not modify or update in any way disclosures made in the Original Form 10-K.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Rule 12b-15 under the Securities Exchange Act of 1934, as amended, this Amendment No. 1 also contains new certifications pursuant to Section 302 of the Sarbanes-Oxley Act of 2002. Because no financial statements have been included in this Amendment No. 1 and this Amendment No. 1 does not contain or amend any disclosure with respect to Items 307 and 308 of Regulation S-K, paragraphs 3, 4, and 5 of those certifications have been omitted.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ITEM 15.</w:t>
      </w:r>
      <w:r>
        <w:rPr>
          <w:sz w:val="20"/>
          <w:szCs w:val="20"/>
          <w:color w:val="auto"/>
        </w:rPr>
        <w:tab/>
      </w:r>
      <w:r>
        <w:rPr>
          <w:rFonts w:ascii="Times New Roman" w:cs="Times New Roman" w:eastAsia="Times New Roman" w:hAnsi="Times New Roman"/>
          <w:sz w:val="17"/>
          <w:szCs w:val="17"/>
          <w:color w:val="auto"/>
        </w:rPr>
        <w:t>EXHIBITS, FINANCIAL STATEMENT SCHEDULES.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(a)(3) The following documents are filed as part of this Form 10-K/A: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38"/>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320" w:type="dxa"/>
            <w:vAlign w:val="bottom"/>
          </w:tcPr>
          <w:p>
            <w:pPr>
              <w:spacing w:after="0"/>
              <w:rPr>
                <w:sz w:val="20"/>
                <w:szCs w:val="20"/>
                <w:color w:val="auto"/>
              </w:rPr>
            </w:pPr>
          </w:p>
        </w:tc>
        <w:tc>
          <w:tcPr>
            <w:tcW w:w="578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660" w:type="dxa"/>
            <w:vAlign w:val="bottom"/>
            <w:tcBorders>
              <w:top w:val="single" w:sz="8" w:color="auto"/>
            </w:tcBorders>
            <w:gridSpan w:val="2"/>
          </w:tcPr>
          <w:p>
            <w:pPr>
              <w:jc w:val="center"/>
              <w:ind w:left="170"/>
              <w:spacing w:after="0" w:line="169" w:lineRule="exact"/>
              <w:rPr>
                <w:sz w:val="20"/>
                <w:szCs w:val="20"/>
                <w:color w:val="auto"/>
              </w:rPr>
            </w:pPr>
            <w:r>
              <w:rPr>
                <w:rFonts w:ascii="Times New Roman" w:cs="Times New Roman" w:eastAsia="Times New Roman" w:hAnsi="Times New Roman"/>
                <w:sz w:val="18"/>
                <w:szCs w:val="18"/>
                <w:color w:val="0000EE"/>
                <w:w w:val="98"/>
              </w:rPr>
              <w:t>*31.</w:t>
            </w:r>
            <w:r>
              <w:rPr>
                <w:rFonts w:ascii="Times New Roman" w:cs="Times New Roman" w:eastAsia="Times New Roman" w:hAnsi="Times New Roman"/>
                <w:sz w:val="18"/>
                <w:szCs w:val="18"/>
                <w:u w:val="single" w:color="auto"/>
                <w:color w:val="0000EE"/>
                <w:w w:val="98"/>
              </w:rPr>
              <w:t>1</w:t>
            </w:r>
          </w:p>
        </w:tc>
        <w:tc>
          <w:tcPr>
            <w:tcW w:w="2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760" w:type="dxa"/>
            <w:vAlign w:val="bottom"/>
            <w:tcBorders>
              <w:top w:val="single" w:sz="8" w:color="auto"/>
              <w:bottom w:val="single" w:sz="8" w:color="0000EE"/>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w w:val="99"/>
              </w:rPr>
              <w:t>Rule 13a-14(a) Certification by Principal Executive Officer.(a) Certification by Principal Executive Officer.</w:t>
            </w:r>
          </w:p>
        </w:tc>
        <w:tc>
          <w:tcPr>
            <w:tcW w:w="2340" w:type="dxa"/>
            <w:vAlign w:val="bottom"/>
            <w:tcBorders>
              <w:top w:val="single" w:sz="8" w:color="auto"/>
            </w:tcBorders>
          </w:tcPr>
          <w:p>
            <w:pPr>
              <w:spacing w:after="0"/>
              <w:rPr>
                <w:sz w:val="14"/>
                <w:szCs w:val="14"/>
                <w:color w:val="auto"/>
              </w:rPr>
            </w:pPr>
          </w:p>
        </w:tc>
      </w:tr>
      <w:tr>
        <w:trPr>
          <w:trHeight w:val="412"/>
        </w:trPr>
        <w:tc>
          <w:tcPr>
            <w:tcW w:w="6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EE"/>
                <w:w w:val="98"/>
              </w:rPr>
              <w:t>*31.</w:t>
            </w:r>
            <w:r>
              <w:rPr>
                <w:rFonts w:ascii="Times New Roman" w:cs="Times New Roman" w:eastAsia="Times New Roman" w:hAnsi="Times New Roman"/>
                <w:sz w:val="18"/>
                <w:szCs w:val="18"/>
                <w:u w:val="single" w:color="auto"/>
                <w:color w:val="0000EE"/>
                <w:w w:val="98"/>
              </w:rPr>
              <w:t>2</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20" w:type="dxa"/>
            <w:vAlign w:val="bottom"/>
            <w:tcBorders>
              <w:bottom w:val="single" w:sz="8" w:color="0000EE"/>
            </w:tcBorders>
          </w:tcPr>
          <w:p>
            <w:pPr>
              <w:ind w:left="40"/>
              <w:spacing w:after="0"/>
              <w:rPr>
                <w:sz w:val="20"/>
                <w:szCs w:val="20"/>
                <w:color w:val="auto"/>
              </w:rPr>
            </w:pPr>
            <w:r>
              <w:rPr>
                <w:rFonts w:ascii="Times New Roman" w:cs="Times New Roman" w:eastAsia="Times New Roman" w:hAnsi="Times New Roman"/>
                <w:sz w:val="18"/>
                <w:szCs w:val="18"/>
                <w:color w:val="0000EE"/>
                <w:w w:val="99"/>
              </w:rPr>
              <w:t>Rule 13a-14(a) Certification by Principal Financial Officer.</w:t>
            </w:r>
          </w:p>
        </w:tc>
        <w:tc>
          <w:tcPr>
            <w:tcW w:w="5780" w:type="dxa"/>
            <w:vAlign w:val="bottom"/>
            <w:gridSpan w:val="3"/>
          </w:tcPr>
          <w:p>
            <w:pPr>
              <w:spacing w:after="0"/>
              <w:rPr>
                <w:sz w:val="24"/>
                <w:szCs w:val="24"/>
                <w:color w:val="auto"/>
              </w:rPr>
            </w:pPr>
          </w:p>
        </w:tc>
      </w:tr>
      <w:tr>
        <w:trPr>
          <w:trHeight w:val="412"/>
        </w:trPr>
        <w:tc>
          <w:tcPr>
            <w:tcW w:w="6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EE"/>
                <w:w w:val="98"/>
              </w:rPr>
              <w:t>*97.</w:t>
            </w:r>
            <w:r>
              <w:rPr>
                <w:rFonts w:ascii="Times New Roman" w:cs="Times New Roman" w:eastAsia="Times New Roman" w:hAnsi="Times New Roman"/>
                <w:sz w:val="18"/>
                <w:szCs w:val="18"/>
                <w:u w:val="single" w:color="auto"/>
                <w:color w:val="0000EE"/>
                <w:w w:val="98"/>
              </w:rPr>
              <w:t>1</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Elite Express Holding Inc. Incentive Compensation Recovery Policy adopted on May 2, 2025</w:t>
            </w:r>
          </w:p>
        </w:tc>
      </w:tr>
      <w:tr>
        <w:trPr>
          <w:trHeight w:val="20"/>
        </w:trPr>
        <w:tc>
          <w:tcPr>
            <w:tcW w:w="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740" w:type="dxa"/>
            <w:vAlign w:val="bottom"/>
            <w:gridSpan w:val="2"/>
            <w:shd w:val="clear" w:color="auto" w:fill="0000EE"/>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r>
      <w:tr>
        <w:trPr>
          <w:trHeight w:val="453"/>
        </w:trPr>
        <w:tc>
          <w:tcPr>
            <w:tcW w:w="11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1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9"/>
              </w:rPr>
              <w:t>*101.LAB</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Extension Labels Linkbase Document.</w:t>
            </w:r>
          </w:p>
        </w:tc>
      </w:tr>
      <w:tr>
        <w:trPr>
          <w:trHeight w:val="432"/>
        </w:trPr>
        <w:tc>
          <w:tcPr>
            <w:tcW w:w="11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7"/>
              </w:rPr>
              <w:t>*101.PRE</w:t>
            </w:r>
          </w:p>
        </w:tc>
        <w:tc>
          <w:tcPr>
            <w:tcW w:w="101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1180" w:hanging="855"/>
        <w:spacing w:after="0"/>
        <w:tabs>
          <w:tab w:leader="none" w:pos="11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March 17,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Elite Express Holding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Yidan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Yidan Chen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President, Director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and Securities and Exchange Commission Release 34-46427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Yidan Chen, certify that: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I have reviewed this Form 10-K/A of Elite Express Holding Inc.;</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17,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Yidan Chen</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Yidan Chen</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r>
        <w:trPr>
          <w:trHeight w:val="67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and Securities and Exchange Commission Release 34-46427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Yidan Chen, certify that: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I have reviewed this Form 10-K/A of Elite Express Holding Inc.;</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17,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Yidan Chen</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Yidan Chen</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 (Principal Financial Officer)</w:t>
            </w:r>
          </w:p>
        </w:tc>
      </w:tr>
      <w:tr>
        <w:trPr>
          <w:trHeight w:val="67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ELITE EXPRESS HOLDING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Effective May 2, 2025</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accordance with Section 10D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Exchange Act Rule 10D-1, and the listing standards of the national securities exchange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on which the securities of Elite Express Holding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are listed,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adopted this Compensation Recovery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Capitalized terms used in the Policy are defined in </w:t>
      </w:r>
      <w:r>
        <w:rPr>
          <w:rFonts w:ascii="Times New Roman" w:cs="Times New Roman" w:eastAsia="Times New Roman" w:hAnsi="Times New Roman"/>
          <w:sz w:val="18"/>
          <w:szCs w:val="18"/>
          <w:u w:val="single" w:color="auto"/>
          <w:color w:val="auto"/>
        </w:rPr>
        <w:t>Section I</w:t>
      </w:r>
      <w:r>
        <w:rPr>
          <w:rFonts w:ascii="Times New Roman" w:cs="Times New Roman" w:eastAsia="Times New Roman" w:hAnsi="Times New Roman"/>
          <w:sz w:val="18"/>
          <w:szCs w:val="18"/>
          <w:color w:val="auto"/>
        </w:rPr>
        <w:t xml:space="preserve"> below. The application of the Policy to Executive Officers is not discretionary, except to the limited extent provided in </w:t>
      </w:r>
      <w:r>
        <w:rPr>
          <w:rFonts w:ascii="Times New Roman" w:cs="Times New Roman" w:eastAsia="Times New Roman" w:hAnsi="Times New Roman"/>
          <w:sz w:val="18"/>
          <w:szCs w:val="18"/>
          <w:u w:val="single" w:color="auto"/>
          <w:color w:val="auto"/>
        </w:rPr>
        <w:t>Section G</w:t>
      </w:r>
      <w:r>
        <w:rPr>
          <w:rFonts w:ascii="Times New Roman" w:cs="Times New Roman" w:eastAsia="Times New Roman" w:hAnsi="Times New Roman"/>
          <w:sz w:val="18"/>
          <w:szCs w:val="18"/>
          <w:color w:val="auto"/>
        </w:rPr>
        <w:t xml:space="preserve"> below, and applies without regard to whether an Executive Officer was at fault.</w:t>
      </w:r>
    </w:p>
    <w:p>
      <w:pPr>
        <w:spacing w:after="0" w:line="158"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Persons Covered by the Policy</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62626"/>
        </w:rPr>
        <w:t>The Policy is binding and enforceable against all Executive Officers. Each Executive Officer will be required to sign and return to the Company an acknowledgement that such Executive Officer will be bound by the terms and comply with the Policy. The failure to obtain such acknowledgement will have no impact on the applicability or enforceability of the Policy.</w:t>
      </w:r>
    </w:p>
    <w:p>
      <w:pPr>
        <w:spacing w:after="0" w:line="17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tab/>
        <w:t>Administration of the Policy</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Compensation Committee of the Board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has full-delegated authority to administer the Policy. The Committee is authorized to interpret and construe the Policy and to make all determinations necessary, appropriate, or advisable for the administration of the Policy. In addition, if determined in the discretion of the Board, the Policy may be administered by the independent members of the Board or another committee of the Board made up of independent members of the Board, in which case all references to the Committee will be deemed to refer to such independent members of the Board or such other Board committee. All determinations of the Committee will be final and binding and will be given the maximum deference permitted by law.</w:t>
      </w:r>
    </w:p>
    <w:p>
      <w:pPr>
        <w:spacing w:after="0" w:line="18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Accounting Restatements Requiring Application of the Policy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Times New Roman" w:cs="Times New Roman" w:eastAsia="Times New Roman" w:hAnsi="Times New Roman"/>
          <w:sz w:val="18"/>
          <w:szCs w:val="18"/>
          <w:b w:val="1"/>
          <w:bCs w:val="1"/>
          <w:color w:val="auto"/>
        </w:rPr>
        <w:t>Accounting Restatement</w:t>
      </w:r>
      <w:r>
        <w:rPr>
          <w:rFonts w:ascii="Times New Roman" w:cs="Times New Roman" w:eastAsia="Times New Roman" w:hAnsi="Times New Roman"/>
          <w:sz w:val="18"/>
          <w:szCs w:val="18"/>
          <w:color w:val="auto"/>
        </w:rPr>
        <w:t>”), then the Committee must determine the excess compensation, if any, that must be recovered (the “</w:t>
      </w:r>
      <w:r>
        <w:rPr>
          <w:rFonts w:ascii="Times New Roman" w:cs="Times New Roman" w:eastAsia="Times New Roman" w:hAnsi="Times New Roman"/>
          <w:sz w:val="18"/>
          <w:szCs w:val="18"/>
          <w:b w:val="1"/>
          <w:bCs w:val="1"/>
          <w:color w:val="auto"/>
        </w:rPr>
        <w:t>Excess Compensation</w:t>
      </w:r>
      <w:r>
        <w:rPr>
          <w:rFonts w:ascii="Times New Roman" w:cs="Times New Roman" w:eastAsia="Times New Roman" w:hAnsi="Times New Roman"/>
          <w:sz w:val="18"/>
          <w:szCs w:val="18"/>
          <w:color w:val="auto"/>
        </w:rPr>
        <w:t>”). The Company’s obligation to recover Excess Compensation is not dependent on if or when the restated financial statements are filed.</w:t>
      </w:r>
    </w:p>
    <w:p>
      <w:pPr>
        <w:spacing w:after="0" w:line="183"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Compensation Covered by the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Policy applies to all Incentive-Based Compensation Received by an Executive Officer:</w:t>
      </w:r>
    </w:p>
    <w:p>
      <w:pPr>
        <w:spacing w:after="0" w:line="225"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beginning service as an Executive Officer;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served as an Executive Officer at any time during the performance period for that Incentive-Based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ind w:left="980" w:hanging="324"/>
        <w:spacing w:after="0"/>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Company has a class of securities listed on the Exchange;</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completed fiscal years immediately preceding the Accounting Restatement Determination Date. In addition to these last three completed fiscal years, the Policy must apply to any transition period (that results from a change in the Company’s fiscal year) within or immediately following those three completed fiscal years. However, a transition period between the last day of the Company’s previous fiscal year end and the first day of the Company’s new fiscal year that comprises a period of nine to 12 months would be deemed a completed fiscal year; and</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October 2, 2023.</w:t>
      </w:r>
    </w:p>
    <w:p>
      <w:pPr>
        <w:spacing w:after="0" w:line="22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  Excess Compensation Subject to Recovery of the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Excess Compensation is the amount of Incentive-Based Compensation Received that exceeds the amount of Incentive-Based Compensation that otherwise would have been Received had such Incentive-Based Compensation been determined based on the restated amounts (this is referred to in the listings standards as “erroneously awarded incentive-based compensation”) and must be computed without regard to any taxes paid.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determine the amount of Excess Compensation for Incentive-Based Compensation based on stock price or total shareholder return, where it is not subject to mathematical recalculation directly from the information in an Accounting Restatement, the amount must be based on a reasonable estimate of the effect of the Accounting Restatement on the stock price or total shareholder return upon which the Incentive-Based Compensation was Received and the Company must maintain documentation of the determination of that reasonable estimate and provide the documentation to the Exchange.</w:t>
      </w:r>
    </w:p>
    <w:p>
      <w:pPr>
        <w:spacing w:after="0" w:line="17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Repayment of Excess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must recover Excess Compensation reasonably promptly and Executive Officers are required to repay Excess Compensation to the Company. Subject to applicable law, the Company may recover Excess Compensation by requiring the Executive Officer to repay such amount to the Company by direct payment to the Company or such other means or combination of means as the Committee determines to be appropriate (these determinations do not need to be identical as to each Executive Officer). These means may include:</w:t>
      </w:r>
    </w:p>
    <w:p>
      <w:pPr>
        <w:spacing w:after="0" w:line="18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reimbursement of cash Incentive-Based Compensation previously paid;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recovery of any gain realized on the vesting, exercise, settlement, sale, transfer, or other disposition of any equity-based awards;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the amount to be recovered from any unpaid or future compensation to be paid by the Company or any affiliate of the Company to the Executive Officer;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outstanding vested or unvested equity awards; and/or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other remedial and recovery action permitted by law, as determined by the Committee.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repayment of Excess Compensation must be made by an Executive Officer notwithstanding any Executive Officer’s belief (whether or not legitimate) that the Excess Compensation had been previously earned under applicable law and therefore is not subject to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its rights to recovery under the Policy, the Company or any affiliate of the Company may take any legal actions it determines appropriate to enforce an Executive Officer’s obligations to the Company or its affiliate or to discipline an Executive Officer, including (without limitation) termination of employment, institution of civil proceedings, reporting of misconduct to appropriate governmental authorities, reduction of future compensation opportunities, or change in role. The decision to take any actions described in the preceding sentence will not be subject to the approval of the Committee and can be made by the Board, any committee of the Board, or any duly authorized officer of the Company or of any applicable affiliate of the Company.</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  Limited Exceptions to the Policy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must recover Excess Compensation in accordance with the Policy except to the limited extent that any of the conditions set forth below are met, and the Committee determines that recovery of the Excess Compensation would be impracticable:</w:t>
      </w:r>
    </w:p>
    <w:p>
      <w:pPr>
        <w:spacing w:after="0" w:line="162" w:lineRule="exact"/>
        <w:rPr>
          <w:sz w:val="20"/>
          <w:szCs w:val="20"/>
          <w:color w:val="auto"/>
        </w:rPr>
      </w:pPr>
    </w:p>
    <w:p>
      <w:pPr>
        <w:jc w:val="both"/>
        <w:ind w:left="660" w:right="2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the Policy would exceed the amount to be recovered. Before reaching this conclusion, the Company must make a reasonable attempt to recover the Excess Compensation, document the reasonable attempt(s) taken to so recover, and provide that documentation to the Exchange;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where that law was adopted prior to November 28, 2022. Before reaching this conclusion, the Company must obtain an opinion of home country counsel, acceptable to the Exchange, that recovery would result in such a violation, and must provide such opinion to the Exchange; or</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to fail to meet the legal requirements as such.</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H.  Other Important Information in the Policy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the terms of any of the Company’s organizational documents (including, but not limited to, the Company’s bylaws), any corporate policy or any contract (including, but not limited to, any indemnification agreement), neither the Company nor any affiliate of the Company will indemnify or provide advancement for any Executive Officer against any loss of Excess Compensation, or any claims relating to the Company’s enforcement of its rights under the Policy. Neither the Company nor any affiliate of the Company will pay for or reimburse insurance premiums for an insurance policy that covers potential recovery obligations. In the event that pursuant to the Policy the Company is required to recover Excess Compensation from an Executive Officer who is no longer an employee, the Company will be entitled to seek recovery in order to comply with applicable law, regardless of the terms of any release of claims or separation agreement such individual may have signed. Neither the Company nor any affiliate of the Company will enter into any agreement that exempts any Incentive-Based Compensation that is granted, paid, or awarded to an Executive Officer from the application of the Policy or that waives the Company’s right to recovery of any Excess Compensation, and the Policy shall supersede any such agreement (whether entered into before, on, or after the adoption of the Policy).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or Board may review and modify the Policy from time to time.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provision of the Policy or the application of any such provision to any Executive Officer is adjudicated to be invalid, illegal, or unenforceable in any respect, such invalidity, illegality, or unenforceability will not affect any other provisions of the Policy or the application of such provision to another Executive Officer, and the invalid, illegal, or unenforceable provisions will be deemed amended to the minimum extent necessary to render any such provision or application 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t>The Policy will terminate and no longer be enforceable when the Company ceases to be a listed issuer within the meaning of Section 10D of the Exchange Act.</w:t>
      </w:r>
    </w:p>
    <w:p>
      <w:pPr>
        <w:spacing w:after="0" w:line="15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Accounting Restatement Determination Date</w:t>
      </w:r>
      <w:r>
        <w:rPr>
          <w:rFonts w:ascii="Times New Roman" w:cs="Times New Roman" w:eastAsia="Times New Roman" w:hAnsi="Times New Roman"/>
          <w:sz w:val="18"/>
          <w:szCs w:val="18"/>
          <w:color w:val="auto"/>
        </w:rPr>
        <w:t>” means the earlier to occur of: (a) the date the Board, a committee of the Board, or one or more of the officers of the Company authorized to take such action if Board action is not required, concludes, or reasonably should have concluded, that the Company is required to prepare an Accounting Restatement; and (b) the date a court, regulator, or other legally authorized body directs the Company to prepare an Accounting Restatement.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b w:val="1"/>
          <w:bCs w:val="1"/>
          <w:color w:val="262626"/>
        </w:rPr>
        <w:t>Executive Officer</w:t>
      </w:r>
      <w:r>
        <w:rPr>
          <w:rFonts w:ascii="Times New Roman" w:cs="Times New Roman" w:eastAsia="Times New Roman" w:hAnsi="Times New Roman"/>
          <w:sz w:val="18"/>
          <w:szCs w:val="18"/>
          <w:color w:val="262626"/>
        </w:rPr>
        <w:t>” means each individual who is or was ever designated as an “officer” by the Board in accordance with Exchange Act Rule 16a-1(f).</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Reporting Measures</w:t>
      </w:r>
      <w:r>
        <w:rPr>
          <w:rFonts w:ascii="Times New Roman" w:cs="Times New Roman" w:eastAsia="Times New Roman" w:hAnsi="Times New Roman"/>
          <w:sz w:val="18"/>
          <w:szCs w:val="18"/>
          <w:color w:val="auto"/>
        </w:rPr>
        <w:t>” means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Securities and Exchange Commission.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Incentive-Based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 (for the avoidance of doubt, no compensation that is potentially subject to recovery under the Policy will be earned until the Company’s right to recover under the Policy has lapsed) and excludes the following: salaries, bonuses paid solely at the discretion of the Committee or Board that are not paid from a bonus pool that is determined by satisfying a Financial Reporting Measure, bonuses paid solely upon satisfying one or more subjective standards and/or completion of a specified employment period, non-equity incentive plan awards earned solely upon satisfying one or more strategic measures or operational measures, and equity awards for which the grant is not contingent upon achieving any Financial Reporting Measure performance goal and vesting is contingent solely upon completion of a specified employment period (e.g., time-based vesting equity awards) and/or attaining one or more non-Financial Reporting Measures.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Received</w:t>
      </w:r>
      <w:r>
        <w:rPr>
          <w:rFonts w:ascii="Times New Roman" w:cs="Times New Roman" w:eastAsia="Times New Roman" w:hAnsi="Times New Roman"/>
          <w:sz w:val="18"/>
          <w:szCs w:val="18"/>
          <w:color w:val="auto"/>
        </w:rPr>
        <w:t>” means, with respect to any Incentive-based Compensation, actual or deemed receipt, and Incentive-Based Compensation is “Received” under the Policy in the Company’s fiscal period during which the Financial Reporting Measure specified in the Incentive-Based Compensation award is attained, even if the payment or grant of the Incentive-Based Compensation occurs after the end of that period. For the avoidance of doubt, the Policy does not apply to Incentive-Based Compensation for which the Financial Reporting Measure is attained prior to October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2"/>
      <w:numFmt w:val="decimal"/>
      <w:start w:val="104"/>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upperLetter"/>
      <w:start w:val="1"/>
    </w:lvl>
    <w:lvl w:ilvl="1">
      <w:lvlJc w:val="left"/>
      <w:lvlText w:val="(%2)"/>
      <w:numFmt w:val="lowerLetter"/>
      <w:start w:val="3"/>
    </w:lvl>
  </w:abstractNum>
  <w:abstractNum w:abstractNumId="4">
    <w:nsid w:val="2EB141F2"/>
    <w:multiLevelType w:val="hybridMultilevel"/>
    <w:lvl w:ilvl="0">
      <w:lvlJc w:val="left"/>
      <w:lvlText w:val="%1."/>
      <w:numFmt w:val="upperLetter"/>
      <w:start w:val="6"/>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upp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2026-03-18T05:08:47Z</dcterms:created>
  <dcterms:modified xsi:type="dcterms:W3CDTF">2026-03-18T05:08:47Z</dcterms:modified>
</cp:coreProperties>
</file>